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DBAEA" w14:textId="77777777" w:rsidR="00397C18" w:rsidRPr="00664EE7" w:rsidRDefault="00397C18" w:rsidP="00183DF3">
      <w:pPr>
        <w:pStyle w:val="CM1"/>
        <w:jc w:val="center"/>
        <w:rPr>
          <w:b/>
          <w:color w:val="000000"/>
          <w:sz w:val="22"/>
          <w:szCs w:val="22"/>
        </w:rPr>
      </w:pPr>
      <w:bookmarkStart w:id="0" w:name="_GoBack"/>
      <w:bookmarkEnd w:id="0"/>
      <w:r w:rsidRPr="00664EE7">
        <w:rPr>
          <w:b/>
          <w:bCs/>
          <w:color w:val="000000"/>
          <w:sz w:val="22"/>
          <w:szCs w:val="22"/>
        </w:rPr>
        <w:t xml:space="preserve">ANEXO </w:t>
      </w:r>
      <w:r w:rsidR="00664EE7" w:rsidRPr="00664EE7">
        <w:rPr>
          <w:b/>
          <w:color w:val="000000"/>
          <w:sz w:val="22"/>
          <w:szCs w:val="22"/>
        </w:rPr>
        <w:t>III</w:t>
      </w:r>
      <w:r w:rsidR="00664EE7" w:rsidRPr="00664EE7">
        <w:rPr>
          <w:b/>
          <w:color w:val="000000"/>
          <w:sz w:val="22"/>
          <w:szCs w:val="22"/>
        </w:rPr>
        <w:br/>
        <w:t>AL</w:t>
      </w:r>
      <w:r w:rsidR="00664EE7" w:rsidRPr="00664EE7">
        <w:rPr>
          <w:b/>
          <w:color w:val="000000"/>
          <w:sz w:val="22"/>
          <w:szCs w:val="22"/>
        </w:rPr>
        <w:br/>
        <w:t>CONTRATO MAR</w:t>
      </w:r>
      <w:r w:rsidRPr="00664EE7">
        <w:rPr>
          <w:b/>
          <w:color w:val="000000"/>
          <w:sz w:val="22"/>
          <w:szCs w:val="22"/>
        </w:rPr>
        <w:t xml:space="preserve">CO DE </w:t>
      </w:r>
      <w:r w:rsidRPr="00664EE7">
        <w:rPr>
          <w:b/>
          <w:bCs/>
          <w:color w:val="000000"/>
          <w:sz w:val="22"/>
          <w:szCs w:val="22"/>
        </w:rPr>
        <w:t>OPERACIONES FINANCIERAS</w:t>
      </w:r>
      <w:r w:rsidR="00D67F17">
        <w:rPr>
          <w:b/>
          <w:bCs/>
          <w:color w:val="000000"/>
          <w:sz w:val="22"/>
          <w:szCs w:val="22"/>
        </w:rPr>
        <w:t xml:space="preserve"> - 20</w:t>
      </w:r>
      <w:r w:rsidR="00080AAA">
        <w:rPr>
          <w:b/>
          <w:bCs/>
          <w:color w:val="000000"/>
          <w:sz w:val="22"/>
          <w:szCs w:val="22"/>
        </w:rPr>
        <w:t>13</w:t>
      </w:r>
      <w:r w:rsidRPr="00664EE7">
        <w:rPr>
          <w:b/>
          <w:bCs/>
          <w:color w:val="000000"/>
          <w:sz w:val="22"/>
          <w:szCs w:val="22"/>
        </w:rPr>
        <w:br/>
      </w:r>
      <w:r w:rsidRPr="00664EE7">
        <w:rPr>
          <w:b/>
          <w:color w:val="000000"/>
          <w:sz w:val="22"/>
          <w:szCs w:val="22"/>
        </w:rPr>
        <w:t>entre</w:t>
      </w:r>
      <w:r w:rsidRPr="00664EE7">
        <w:rPr>
          <w:b/>
          <w:color w:val="000000"/>
          <w:sz w:val="22"/>
          <w:szCs w:val="22"/>
        </w:rPr>
        <w:br/>
      </w:r>
    </w:p>
    <w:p w14:paraId="2988428E" w14:textId="77777777" w:rsidR="00D67F17" w:rsidRPr="00664EE7" w:rsidRDefault="00D67F17" w:rsidP="00D67F17">
      <w:pPr>
        <w:pStyle w:val="CM24"/>
        <w:spacing w:line="256" w:lineRule="atLeast"/>
        <w:jc w:val="center"/>
        <w:rPr>
          <w:b/>
        </w:rPr>
      </w:pPr>
      <w:r>
        <w:rPr>
          <w:b/>
          <w:bCs/>
        </w:rPr>
        <w:t xml:space="preserve">[        </w:t>
      </w:r>
      <w:r w:rsidRPr="00664EE7">
        <w:rPr>
          <w:b/>
          <w:bCs/>
        </w:rPr>
        <w:t>]</w:t>
      </w:r>
      <w:r>
        <w:rPr>
          <w:b/>
          <w:bCs/>
        </w:rPr>
        <w:t xml:space="preserve"> </w:t>
      </w:r>
      <w:r w:rsidR="00871DA2">
        <w:rPr>
          <w:b/>
          <w:sz w:val="22"/>
          <w:szCs w:val="22"/>
        </w:rPr>
        <w:t>y</w:t>
      </w:r>
      <w:r>
        <w:rPr>
          <w:b/>
          <w:sz w:val="22"/>
          <w:szCs w:val="22"/>
        </w:rPr>
        <w:t xml:space="preserve"> </w:t>
      </w:r>
      <w:r w:rsidRPr="00664EE7">
        <w:rPr>
          <w:b/>
          <w:bCs/>
        </w:rPr>
        <w:t>[</w:t>
      </w:r>
      <w:r>
        <w:rPr>
          <w:b/>
          <w:bCs/>
        </w:rPr>
        <w:t xml:space="preserve">        </w:t>
      </w:r>
      <w:r w:rsidRPr="00664EE7">
        <w:rPr>
          <w:b/>
          <w:bCs/>
        </w:rPr>
        <w:t>]</w:t>
      </w:r>
    </w:p>
    <w:p w14:paraId="6B6E071F" w14:textId="77777777" w:rsidR="00397C18" w:rsidRPr="00664EE7" w:rsidRDefault="00397C18" w:rsidP="00D67F17">
      <w:pPr>
        <w:pStyle w:val="CM24"/>
        <w:spacing w:line="256" w:lineRule="atLeast"/>
        <w:jc w:val="center"/>
        <w:rPr>
          <w:b/>
        </w:rPr>
      </w:pPr>
    </w:p>
    <w:p w14:paraId="77141051" w14:textId="77777777" w:rsidR="00397C18" w:rsidRPr="00664EE7" w:rsidRDefault="00397C18" w:rsidP="00183DF3">
      <w:pPr>
        <w:pStyle w:val="CM24"/>
        <w:spacing w:line="256" w:lineRule="atLeast"/>
        <w:jc w:val="center"/>
        <w:rPr>
          <w:b/>
        </w:rPr>
      </w:pPr>
      <w:r w:rsidRPr="00664EE7">
        <w:rPr>
          <w:b/>
          <w:bCs/>
        </w:rPr>
        <w:t>[Fecha]</w:t>
      </w:r>
    </w:p>
    <w:p w14:paraId="57C2EE88" w14:textId="77777777" w:rsidR="00397C18" w:rsidRDefault="00397C18" w:rsidP="00183DF3">
      <w:pPr>
        <w:pStyle w:val="CM25"/>
        <w:spacing w:line="256" w:lineRule="atLeast"/>
        <w:jc w:val="center"/>
      </w:pPr>
      <w:r w:rsidRPr="00664EE7">
        <w:rPr>
          <w:b/>
        </w:rPr>
        <w:t xml:space="preserve">ACUERDO DE REALIZACIÓN DE </w:t>
      </w:r>
      <w:r w:rsidRPr="00664EE7">
        <w:rPr>
          <w:b/>
          <w:bCs/>
        </w:rPr>
        <w:t xml:space="preserve">CESIONES EN </w:t>
      </w:r>
      <w:r w:rsidRPr="00664EE7">
        <w:rPr>
          <w:b/>
        </w:rPr>
        <w:t>GARANTIA</w:t>
      </w:r>
    </w:p>
    <w:p w14:paraId="6C45C207" w14:textId="77777777" w:rsidR="00397C18" w:rsidRDefault="00397C18" w:rsidP="00183DF3">
      <w:pPr>
        <w:pStyle w:val="CM24"/>
        <w:jc w:val="both"/>
        <w:rPr>
          <w:sz w:val="20"/>
          <w:szCs w:val="20"/>
        </w:rPr>
      </w:pPr>
      <w:r>
        <w:rPr>
          <w:sz w:val="20"/>
          <w:szCs w:val="20"/>
        </w:rPr>
        <w:t xml:space="preserve">[ </w:t>
      </w:r>
      <w:r w:rsidR="00664EE7">
        <w:rPr>
          <w:sz w:val="20"/>
          <w:szCs w:val="20"/>
        </w:rPr>
        <w:t xml:space="preserve">    </w:t>
      </w:r>
      <w:r w:rsidR="00664EE7" w:rsidRPr="001B310C">
        <w:rPr>
          <w:sz w:val="22"/>
          <w:szCs w:val="22"/>
        </w:rPr>
        <w:t>]</w:t>
      </w:r>
    </w:p>
    <w:p w14:paraId="4B317297" w14:textId="77777777" w:rsidR="00397C18" w:rsidRDefault="00397C18" w:rsidP="00183DF3">
      <w:pPr>
        <w:pStyle w:val="CM24"/>
        <w:jc w:val="both"/>
        <w:rPr>
          <w:sz w:val="20"/>
          <w:szCs w:val="20"/>
        </w:rPr>
        <w:sectPr w:rsidR="00397C18" w:rsidSect="00183DF3">
          <w:headerReference w:type="even" r:id="rId10"/>
          <w:headerReference w:type="default" r:id="rId11"/>
          <w:footerReference w:type="even" r:id="rId12"/>
          <w:footerReference w:type="default" r:id="rId13"/>
          <w:headerReference w:type="first" r:id="rId14"/>
          <w:footerReference w:type="first" r:id="rId15"/>
          <w:type w:val="continuous"/>
          <w:pgSz w:w="11900" w:h="16800"/>
          <w:pgMar w:top="1588" w:right="1701" w:bottom="1418" w:left="1644" w:header="720" w:footer="720" w:gutter="0"/>
          <w:cols w:space="720"/>
          <w:noEndnote/>
        </w:sectPr>
      </w:pPr>
    </w:p>
    <w:p w14:paraId="4305E1FF" w14:textId="77777777" w:rsidR="00397C18" w:rsidRDefault="00397C18" w:rsidP="00183DF3">
      <w:pPr>
        <w:pStyle w:val="CM26"/>
        <w:spacing w:line="256" w:lineRule="atLeast"/>
        <w:jc w:val="center"/>
        <w:rPr>
          <w:sz w:val="22"/>
          <w:szCs w:val="22"/>
        </w:rPr>
      </w:pPr>
      <w:r>
        <w:rPr>
          <w:b/>
          <w:bCs/>
          <w:sz w:val="22"/>
          <w:szCs w:val="22"/>
        </w:rPr>
        <w:t>EXPONEN</w:t>
      </w:r>
    </w:p>
    <w:p w14:paraId="53BBD6FE" w14:textId="77777777" w:rsidR="00397C18" w:rsidRDefault="00183DF3" w:rsidP="00183DF3">
      <w:pPr>
        <w:pStyle w:val="CM24"/>
        <w:spacing w:line="253" w:lineRule="atLeast"/>
        <w:ind w:left="720" w:hanging="720"/>
        <w:jc w:val="both"/>
        <w:rPr>
          <w:sz w:val="22"/>
          <w:szCs w:val="22"/>
        </w:rPr>
      </w:pPr>
      <w:r>
        <w:rPr>
          <w:sz w:val="22"/>
          <w:szCs w:val="22"/>
        </w:rPr>
        <w:t>I.-</w:t>
      </w:r>
      <w:r>
        <w:rPr>
          <w:sz w:val="22"/>
          <w:szCs w:val="22"/>
        </w:rPr>
        <w:tab/>
      </w:r>
      <w:r w:rsidR="00397C18">
        <w:rPr>
          <w:sz w:val="22"/>
          <w:szCs w:val="22"/>
        </w:rPr>
        <w:t>Que las Partes tienen interés en efectuar cesiones en garantía en cobertura del riesgo asumido por las Operaciones suscritas en cada momento al amparo del Contrato Marco de Operaciones Financ</w:t>
      </w:r>
      <w:r w:rsidR="007D2874">
        <w:rPr>
          <w:sz w:val="22"/>
          <w:szCs w:val="22"/>
        </w:rPr>
        <w:t>ieras arriba mencionado (el "CMO</w:t>
      </w:r>
      <w:r w:rsidR="00397C18">
        <w:rPr>
          <w:sz w:val="22"/>
          <w:szCs w:val="22"/>
        </w:rPr>
        <w:t xml:space="preserve">F"). </w:t>
      </w:r>
    </w:p>
    <w:p w14:paraId="6833A291" w14:textId="77777777" w:rsidR="00397C18" w:rsidRDefault="00183DF3" w:rsidP="00183DF3">
      <w:pPr>
        <w:pStyle w:val="CM25"/>
        <w:spacing w:after="0"/>
        <w:ind w:left="720" w:hanging="720"/>
        <w:jc w:val="both"/>
        <w:rPr>
          <w:sz w:val="22"/>
          <w:szCs w:val="22"/>
        </w:rPr>
      </w:pPr>
      <w:r>
        <w:rPr>
          <w:sz w:val="22"/>
          <w:szCs w:val="22"/>
        </w:rPr>
        <w:t>II.-</w:t>
      </w:r>
      <w:r>
        <w:rPr>
          <w:sz w:val="22"/>
          <w:szCs w:val="22"/>
        </w:rPr>
        <w:tab/>
      </w:r>
      <w:r w:rsidR="00397C18">
        <w:rPr>
          <w:sz w:val="22"/>
          <w:szCs w:val="22"/>
        </w:rPr>
        <w:t>Que las Partes han decidido incorporar el presente anex</w:t>
      </w:r>
      <w:r w:rsidR="007D2874">
        <w:rPr>
          <w:sz w:val="22"/>
          <w:szCs w:val="22"/>
        </w:rPr>
        <w:t>o al CMO</w:t>
      </w:r>
      <w:r w:rsidR="00397C18">
        <w:rPr>
          <w:sz w:val="22"/>
          <w:szCs w:val="22"/>
        </w:rPr>
        <w:t xml:space="preserve">F, </w:t>
      </w:r>
      <w:r w:rsidR="00DA2740">
        <w:rPr>
          <w:sz w:val="22"/>
          <w:szCs w:val="22"/>
        </w:rPr>
        <w:t xml:space="preserve">que tendrá el carácter de un acuerdo de garantía financiera </w:t>
      </w:r>
      <w:r w:rsidR="00397C18">
        <w:rPr>
          <w:sz w:val="22"/>
          <w:szCs w:val="22"/>
        </w:rPr>
        <w:t xml:space="preserve">teniendo las cesiones en garantía que se realicen al amparo del mismo el carácter de Operaciones. </w:t>
      </w:r>
    </w:p>
    <w:p w14:paraId="1FF07BC8" w14:textId="77777777" w:rsidR="00397C18" w:rsidRDefault="00397C18" w:rsidP="00183DF3">
      <w:pPr>
        <w:pStyle w:val="CM25"/>
        <w:spacing w:after="0"/>
        <w:ind w:left="708"/>
        <w:jc w:val="both"/>
        <w:rPr>
          <w:sz w:val="22"/>
          <w:szCs w:val="22"/>
        </w:rPr>
        <w:sectPr w:rsidR="00397C18" w:rsidSect="00183DF3">
          <w:type w:val="continuous"/>
          <w:pgSz w:w="11900" w:h="16800"/>
          <w:pgMar w:top="1588" w:right="1701" w:bottom="1418" w:left="1644" w:header="720" w:footer="720" w:gutter="0"/>
          <w:cols w:space="720"/>
          <w:noEndnote/>
        </w:sectPr>
      </w:pPr>
    </w:p>
    <w:p w14:paraId="67C958BB" w14:textId="77777777" w:rsidR="00183DF3" w:rsidRDefault="00183DF3" w:rsidP="00183DF3">
      <w:pPr>
        <w:pStyle w:val="CM27"/>
        <w:spacing w:after="0"/>
        <w:jc w:val="center"/>
        <w:rPr>
          <w:b/>
          <w:bCs/>
          <w:sz w:val="22"/>
          <w:szCs w:val="22"/>
        </w:rPr>
      </w:pPr>
    </w:p>
    <w:p w14:paraId="325DFD2A" w14:textId="77777777" w:rsidR="00183DF3" w:rsidRDefault="00183DF3" w:rsidP="00183DF3">
      <w:pPr>
        <w:pStyle w:val="CM27"/>
        <w:spacing w:after="0"/>
        <w:jc w:val="center"/>
        <w:rPr>
          <w:b/>
          <w:bCs/>
          <w:sz w:val="22"/>
          <w:szCs w:val="22"/>
        </w:rPr>
      </w:pPr>
    </w:p>
    <w:p w14:paraId="5AC5F811" w14:textId="77777777" w:rsidR="00397C18" w:rsidRDefault="00397C18" w:rsidP="00183DF3">
      <w:pPr>
        <w:pStyle w:val="CM27"/>
        <w:spacing w:after="0"/>
        <w:jc w:val="center"/>
        <w:rPr>
          <w:b/>
          <w:bCs/>
          <w:sz w:val="22"/>
          <w:szCs w:val="22"/>
        </w:rPr>
      </w:pPr>
      <w:r>
        <w:rPr>
          <w:b/>
          <w:bCs/>
          <w:sz w:val="22"/>
          <w:szCs w:val="22"/>
        </w:rPr>
        <w:t>ESTIPULACIONES</w:t>
      </w:r>
    </w:p>
    <w:p w14:paraId="77CA8CC6" w14:textId="77777777" w:rsidR="00183DF3" w:rsidRDefault="00183DF3" w:rsidP="00183DF3">
      <w:pPr>
        <w:pStyle w:val="Default"/>
      </w:pPr>
    </w:p>
    <w:p w14:paraId="308777A6" w14:textId="77777777" w:rsidR="00183DF3" w:rsidRPr="00183DF3" w:rsidRDefault="00183DF3" w:rsidP="00183DF3">
      <w:pPr>
        <w:pStyle w:val="Default"/>
      </w:pPr>
    </w:p>
    <w:p w14:paraId="5805EE8D" w14:textId="77777777" w:rsidR="00397C18" w:rsidRDefault="00397C18" w:rsidP="00183DF3">
      <w:pPr>
        <w:pStyle w:val="CM24"/>
        <w:spacing w:after="0"/>
        <w:jc w:val="both"/>
        <w:rPr>
          <w:b/>
          <w:sz w:val="22"/>
          <w:szCs w:val="22"/>
          <w:u w:val="single"/>
        </w:rPr>
      </w:pPr>
      <w:r w:rsidRPr="007D2874">
        <w:rPr>
          <w:b/>
          <w:bCs/>
          <w:sz w:val="22"/>
          <w:szCs w:val="22"/>
          <w:u w:val="single"/>
        </w:rPr>
        <w:t>PRIMERA.-</w:t>
      </w:r>
      <w:r w:rsidRPr="007D2874">
        <w:rPr>
          <w:b/>
          <w:sz w:val="22"/>
          <w:szCs w:val="22"/>
          <w:u w:val="single"/>
        </w:rPr>
        <w:t xml:space="preserve">NATURALEZA, INTERPRETACIÓN Y DEFINICIONES. </w:t>
      </w:r>
    </w:p>
    <w:p w14:paraId="769D697E" w14:textId="77777777" w:rsidR="00183DF3" w:rsidRPr="00183DF3" w:rsidRDefault="00183DF3" w:rsidP="00183DF3">
      <w:pPr>
        <w:pStyle w:val="Default"/>
      </w:pPr>
    </w:p>
    <w:p w14:paraId="0FE4F18D" w14:textId="77777777" w:rsidR="00397C18" w:rsidRPr="007D2874" w:rsidRDefault="00397C18" w:rsidP="00183DF3">
      <w:pPr>
        <w:pStyle w:val="CM24"/>
        <w:jc w:val="both"/>
        <w:rPr>
          <w:b/>
          <w:sz w:val="22"/>
          <w:szCs w:val="22"/>
        </w:rPr>
      </w:pPr>
      <w:r w:rsidRPr="007D2874">
        <w:rPr>
          <w:b/>
          <w:sz w:val="20"/>
          <w:szCs w:val="20"/>
        </w:rPr>
        <w:t>1.1.</w:t>
      </w:r>
      <w:r w:rsidRPr="007D2874">
        <w:rPr>
          <w:b/>
          <w:sz w:val="20"/>
          <w:szCs w:val="20"/>
        </w:rPr>
        <w:tab/>
      </w:r>
      <w:r w:rsidRPr="007D2874">
        <w:rPr>
          <w:b/>
          <w:sz w:val="22"/>
          <w:szCs w:val="22"/>
        </w:rPr>
        <w:t xml:space="preserve">Objeto y Naturaleza. </w:t>
      </w:r>
    </w:p>
    <w:p w14:paraId="5D135B8E" w14:textId="77777777" w:rsidR="00397C18" w:rsidRDefault="00397C18" w:rsidP="00183DF3">
      <w:pPr>
        <w:pStyle w:val="CM24"/>
        <w:spacing w:line="253" w:lineRule="atLeast"/>
        <w:ind w:left="708"/>
        <w:jc w:val="both"/>
        <w:rPr>
          <w:sz w:val="22"/>
          <w:szCs w:val="22"/>
        </w:rPr>
      </w:pPr>
      <w:r>
        <w:rPr>
          <w:sz w:val="22"/>
          <w:szCs w:val="22"/>
        </w:rPr>
        <w:t xml:space="preserve">Por el presente Anexo III, las Partes acuerdan la realización de transmisiones de efectivo, deuda pública y valores negociables en general, en garantía del Riesgo Neto resultante, en cada momento, de las Operaciones concertadas por las Partes al amparo del CMOF (en adelante, </w:t>
      </w:r>
      <w:r>
        <w:rPr>
          <w:b/>
          <w:bCs/>
          <w:sz w:val="22"/>
          <w:szCs w:val="22"/>
        </w:rPr>
        <w:t>"Cesión en Garantía"</w:t>
      </w:r>
      <w:r w:rsidRPr="00871DA2">
        <w:rPr>
          <w:bCs/>
          <w:sz w:val="22"/>
          <w:szCs w:val="22"/>
        </w:rPr>
        <w:t>)</w:t>
      </w:r>
      <w:r>
        <w:rPr>
          <w:b/>
          <w:bCs/>
          <w:sz w:val="22"/>
          <w:szCs w:val="22"/>
        </w:rPr>
        <w:t xml:space="preserve">. </w:t>
      </w:r>
    </w:p>
    <w:p w14:paraId="4AAC2C4E" w14:textId="77777777" w:rsidR="00397C18" w:rsidRDefault="00397C18" w:rsidP="00871DA2">
      <w:pPr>
        <w:pStyle w:val="CM3"/>
        <w:ind w:left="708"/>
        <w:jc w:val="both"/>
        <w:rPr>
          <w:sz w:val="22"/>
          <w:szCs w:val="22"/>
        </w:rPr>
      </w:pPr>
      <w:r>
        <w:rPr>
          <w:sz w:val="20"/>
          <w:szCs w:val="20"/>
        </w:rPr>
        <w:t xml:space="preserve">Toda </w:t>
      </w:r>
      <w:r>
        <w:rPr>
          <w:sz w:val="22"/>
          <w:szCs w:val="22"/>
        </w:rPr>
        <w:t xml:space="preserve">transmisión realizada por cualquiera de las Partes al amparo del presente Anexo </w:t>
      </w:r>
      <w:r>
        <w:rPr>
          <w:sz w:val="20"/>
          <w:szCs w:val="20"/>
        </w:rPr>
        <w:t xml:space="preserve">III, </w:t>
      </w:r>
      <w:r>
        <w:rPr>
          <w:sz w:val="22"/>
          <w:szCs w:val="22"/>
        </w:rPr>
        <w:t xml:space="preserve">ya sea de efectivo, deuda pública u otros valores negociables, en forma de Cesión en Garantía o devolución de activos previamente objeto de Cesión en Garantía, se considerará una </w:t>
      </w:r>
      <w:r>
        <w:rPr>
          <w:b/>
          <w:bCs/>
          <w:sz w:val="22"/>
          <w:szCs w:val="22"/>
        </w:rPr>
        <w:t xml:space="preserve">"Cesión", </w:t>
      </w:r>
      <w:r>
        <w:rPr>
          <w:sz w:val="22"/>
          <w:szCs w:val="22"/>
        </w:rPr>
        <w:t xml:space="preserve">y supondrá la transmisión al receptor de la plena propiedad y dominio de los mismos, libre de toda carga y gravamen (salvo aquellos derechos reales o de retención que vengan impuestos por el correspondiente sistema de compensación y liquidación de los valores de que se trate, en su caso). </w:t>
      </w:r>
    </w:p>
    <w:p w14:paraId="4A2C7E62" w14:textId="77777777" w:rsidR="003564E8" w:rsidRPr="003564E8" w:rsidRDefault="003564E8" w:rsidP="003564E8">
      <w:pPr>
        <w:pStyle w:val="Default"/>
      </w:pPr>
    </w:p>
    <w:p w14:paraId="27F94B79" w14:textId="77777777" w:rsidR="00397C18" w:rsidRPr="00183DF3" w:rsidRDefault="00397C18" w:rsidP="00183DF3">
      <w:pPr>
        <w:pStyle w:val="CM24"/>
        <w:spacing w:line="256" w:lineRule="atLeast"/>
        <w:jc w:val="both"/>
        <w:rPr>
          <w:b/>
          <w:sz w:val="22"/>
          <w:szCs w:val="22"/>
        </w:rPr>
      </w:pPr>
      <w:r w:rsidRPr="00183DF3">
        <w:rPr>
          <w:b/>
          <w:sz w:val="22"/>
          <w:szCs w:val="22"/>
        </w:rPr>
        <w:t>1.2.</w:t>
      </w:r>
      <w:r w:rsidRPr="00183DF3">
        <w:rPr>
          <w:b/>
          <w:sz w:val="22"/>
          <w:szCs w:val="22"/>
        </w:rPr>
        <w:tab/>
        <w:t xml:space="preserve">Interpretación </w:t>
      </w:r>
    </w:p>
    <w:p w14:paraId="21D11A94" w14:textId="77777777" w:rsidR="00397C18" w:rsidRDefault="00397C18" w:rsidP="00183DF3">
      <w:pPr>
        <w:pStyle w:val="CM3"/>
        <w:ind w:left="708"/>
        <w:jc w:val="both"/>
        <w:rPr>
          <w:sz w:val="22"/>
          <w:szCs w:val="22"/>
        </w:rPr>
      </w:pPr>
      <w:r>
        <w:rPr>
          <w:sz w:val="22"/>
          <w:szCs w:val="22"/>
        </w:rPr>
        <w:t xml:space="preserve">Los términos definidos por este Anexo </w:t>
      </w:r>
      <w:r>
        <w:rPr>
          <w:sz w:val="20"/>
          <w:szCs w:val="20"/>
        </w:rPr>
        <w:t xml:space="preserve">III </w:t>
      </w:r>
      <w:r>
        <w:rPr>
          <w:sz w:val="22"/>
          <w:szCs w:val="22"/>
        </w:rPr>
        <w:t xml:space="preserve">tienen el </w:t>
      </w:r>
      <w:r w:rsidR="007D2874">
        <w:rPr>
          <w:sz w:val="22"/>
          <w:szCs w:val="22"/>
        </w:rPr>
        <w:t>significado</w:t>
      </w:r>
      <w:r>
        <w:rPr>
          <w:sz w:val="22"/>
          <w:szCs w:val="22"/>
        </w:rPr>
        <w:t xml:space="preserve"> señalado en el mismo. En caso de discrepancia entre este Anexo </w:t>
      </w:r>
      <w:r>
        <w:rPr>
          <w:sz w:val="20"/>
          <w:szCs w:val="20"/>
        </w:rPr>
        <w:t xml:space="preserve">III y </w:t>
      </w:r>
      <w:r>
        <w:rPr>
          <w:sz w:val="22"/>
          <w:szCs w:val="22"/>
        </w:rPr>
        <w:t xml:space="preserve">el </w:t>
      </w:r>
      <w:r w:rsidR="00871DA2">
        <w:rPr>
          <w:sz w:val="22"/>
          <w:szCs w:val="22"/>
        </w:rPr>
        <w:t>resto de partes o anexos del CMO</w:t>
      </w:r>
      <w:r>
        <w:rPr>
          <w:sz w:val="22"/>
          <w:szCs w:val="22"/>
        </w:rPr>
        <w:t xml:space="preserve">F, </w:t>
      </w:r>
      <w:r>
        <w:rPr>
          <w:sz w:val="22"/>
          <w:szCs w:val="22"/>
        </w:rPr>
        <w:lastRenderedPageBreak/>
        <w:t xml:space="preserve">prevalecerá este Anexo </w:t>
      </w:r>
      <w:r>
        <w:rPr>
          <w:sz w:val="20"/>
          <w:szCs w:val="20"/>
        </w:rPr>
        <w:t xml:space="preserve">III, y </w:t>
      </w:r>
      <w:r>
        <w:rPr>
          <w:sz w:val="22"/>
          <w:szCs w:val="22"/>
        </w:rPr>
        <w:t xml:space="preserve">en caso de discrepancia entre la Estipulación Adicional de este Anexo </w:t>
      </w:r>
      <w:r>
        <w:rPr>
          <w:sz w:val="20"/>
          <w:szCs w:val="20"/>
        </w:rPr>
        <w:t xml:space="preserve">III y </w:t>
      </w:r>
      <w:r>
        <w:rPr>
          <w:sz w:val="22"/>
          <w:szCs w:val="22"/>
        </w:rPr>
        <w:t>otras cláusulas del mismo, prevalecerá lo que establezc</w:t>
      </w:r>
      <w:r w:rsidR="003564E8">
        <w:rPr>
          <w:sz w:val="22"/>
          <w:szCs w:val="22"/>
        </w:rPr>
        <w:t>a dicha Estipulación Adicional.</w:t>
      </w:r>
    </w:p>
    <w:p w14:paraId="6DF56D64" w14:textId="77777777" w:rsidR="003564E8" w:rsidRPr="003564E8" w:rsidRDefault="003564E8" w:rsidP="003564E8">
      <w:pPr>
        <w:pStyle w:val="Default"/>
      </w:pPr>
    </w:p>
    <w:p w14:paraId="7B72760F" w14:textId="77777777" w:rsidR="00397C18" w:rsidRPr="00183DF3" w:rsidRDefault="00397C18" w:rsidP="00183DF3">
      <w:pPr>
        <w:pStyle w:val="CM24"/>
        <w:spacing w:line="253" w:lineRule="atLeast"/>
        <w:ind w:left="713" w:hanging="712"/>
        <w:jc w:val="both"/>
        <w:rPr>
          <w:b/>
          <w:sz w:val="22"/>
          <w:szCs w:val="22"/>
        </w:rPr>
      </w:pPr>
      <w:r w:rsidRPr="00183DF3">
        <w:rPr>
          <w:b/>
          <w:sz w:val="22"/>
          <w:szCs w:val="22"/>
        </w:rPr>
        <w:t>1.3.</w:t>
      </w:r>
      <w:r w:rsidRPr="00183DF3">
        <w:rPr>
          <w:b/>
          <w:sz w:val="22"/>
          <w:szCs w:val="22"/>
        </w:rPr>
        <w:tab/>
        <w:t xml:space="preserve">Definiciones. </w:t>
      </w:r>
    </w:p>
    <w:p w14:paraId="71280A78" w14:textId="77777777" w:rsidR="00397C18" w:rsidRPr="00DA2740" w:rsidRDefault="00397C18" w:rsidP="00DA2740">
      <w:pPr>
        <w:pStyle w:val="CM24"/>
        <w:spacing w:after="0"/>
        <w:ind w:left="708"/>
        <w:jc w:val="both"/>
        <w:rPr>
          <w:sz w:val="22"/>
          <w:szCs w:val="22"/>
        </w:rPr>
      </w:pPr>
      <w:r>
        <w:rPr>
          <w:b/>
          <w:bCs/>
          <w:i/>
          <w:iCs/>
          <w:sz w:val="22"/>
          <w:szCs w:val="22"/>
        </w:rPr>
        <w:t xml:space="preserve">"Agente de Valoración" </w:t>
      </w:r>
      <w:r>
        <w:rPr>
          <w:sz w:val="22"/>
          <w:szCs w:val="22"/>
        </w:rPr>
        <w:t xml:space="preserve">significa la entidad encargada de realizar los cálculos relativos a este Anexo III, cuya identidad se </w:t>
      </w:r>
      <w:r w:rsidR="007D2874">
        <w:rPr>
          <w:sz w:val="22"/>
          <w:szCs w:val="22"/>
        </w:rPr>
        <w:t>señala</w:t>
      </w:r>
      <w:r>
        <w:rPr>
          <w:sz w:val="22"/>
          <w:szCs w:val="22"/>
        </w:rPr>
        <w:t xml:space="preserve"> en la Estipulación Adicional. </w:t>
      </w:r>
      <w:r w:rsidR="00DA2740">
        <w:rPr>
          <w:sz w:val="22"/>
          <w:szCs w:val="22"/>
        </w:rPr>
        <w:t>En c</w:t>
      </w:r>
      <w:r w:rsidR="004312B4">
        <w:rPr>
          <w:sz w:val="22"/>
          <w:szCs w:val="22"/>
        </w:rPr>
        <w:t>aso de no especificarse en dicho</w:t>
      </w:r>
      <w:r w:rsidR="00DA2740">
        <w:rPr>
          <w:sz w:val="22"/>
          <w:szCs w:val="22"/>
        </w:rPr>
        <w:t xml:space="preserve"> Anexo II</w:t>
      </w:r>
      <w:r w:rsidR="004312B4">
        <w:rPr>
          <w:sz w:val="22"/>
          <w:szCs w:val="22"/>
        </w:rPr>
        <w:t>I</w:t>
      </w:r>
      <w:r w:rsidR="00DA2740">
        <w:rPr>
          <w:sz w:val="22"/>
          <w:szCs w:val="22"/>
        </w:rPr>
        <w:t xml:space="preserve">, el Agente de Valoración será el Agente de Cálculo del </w:t>
      </w:r>
      <w:r w:rsidR="00DA2740" w:rsidRPr="00DA2740">
        <w:rPr>
          <w:sz w:val="22"/>
          <w:szCs w:val="22"/>
        </w:rPr>
        <w:t>Contrato Maro.</w:t>
      </w:r>
    </w:p>
    <w:p w14:paraId="28268286" w14:textId="77777777" w:rsidR="00DA2740" w:rsidRPr="00DA2740" w:rsidRDefault="00DA2740" w:rsidP="00DA2740">
      <w:pPr>
        <w:pStyle w:val="Default"/>
        <w:rPr>
          <w:sz w:val="22"/>
          <w:szCs w:val="22"/>
        </w:rPr>
      </w:pPr>
    </w:p>
    <w:p w14:paraId="686A1BEE" w14:textId="77777777" w:rsidR="00DA2740" w:rsidRDefault="00DA2740" w:rsidP="006768D7">
      <w:pPr>
        <w:pStyle w:val="Default"/>
        <w:ind w:left="720" w:hanging="720"/>
        <w:jc w:val="both"/>
        <w:rPr>
          <w:sz w:val="22"/>
          <w:szCs w:val="22"/>
        </w:rPr>
      </w:pPr>
      <w:r w:rsidRPr="00DA2740">
        <w:rPr>
          <w:sz w:val="22"/>
          <w:szCs w:val="22"/>
        </w:rPr>
        <w:tab/>
        <w:t>Sin perjuicio de otras respon</w:t>
      </w:r>
      <w:r>
        <w:rPr>
          <w:sz w:val="22"/>
          <w:szCs w:val="22"/>
        </w:rPr>
        <w:t xml:space="preserve">sabilidades en las que pudiera incurrir, el incumplimiento de las obligaciones del Agente de Valoración no se considerará en ningún caso una Causa de Vencimiento Anticipado por Circunstancias Imputables a las Partes de las previstas en la Estipulación </w:t>
      </w:r>
      <w:r w:rsidR="006768D7">
        <w:rPr>
          <w:sz w:val="22"/>
          <w:szCs w:val="22"/>
        </w:rPr>
        <w:t>Novena del Contrato Marco, ni una Causa de Vencimiento Anticipado por Circunstancias Objetivas Sobrevenidas, establecidas en la Estipulación Décima del Contrato Marco.</w:t>
      </w:r>
    </w:p>
    <w:p w14:paraId="49BE5DB7" w14:textId="77777777" w:rsidR="006768D7" w:rsidRPr="00DA2740" w:rsidRDefault="006768D7" w:rsidP="006768D7">
      <w:pPr>
        <w:pStyle w:val="Default"/>
        <w:ind w:left="720" w:hanging="720"/>
        <w:jc w:val="both"/>
        <w:rPr>
          <w:sz w:val="22"/>
          <w:szCs w:val="22"/>
        </w:rPr>
      </w:pPr>
    </w:p>
    <w:p w14:paraId="271E10AC" w14:textId="77777777" w:rsidR="00397C18" w:rsidRDefault="00397C18" w:rsidP="00183DF3">
      <w:pPr>
        <w:pStyle w:val="CM3"/>
        <w:ind w:left="708"/>
        <w:jc w:val="both"/>
        <w:rPr>
          <w:sz w:val="22"/>
          <w:szCs w:val="22"/>
        </w:rPr>
      </w:pPr>
      <w:r>
        <w:rPr>
          <w:b/>
          <w:bCs/>
          <w:i/>
          <w:iCs/>
          <w:sz w:val="22"/>
          <w:szCs w:val="22"/>
        </w:rPr>
        <w:t xml:space="preserve">"Antiguo Colateral" </w:t>
      </w:r>
      <w:r>
        <w:rPr>
          <w:sz w:val="22"/>
          <w:szCs w:val="22"/>
        </w:rPr>
        <w:t xml:space="preserve">tendrá el significado que le asigna la Estipulación Tercera de este </w:t>
      </w:r>
    </w:p>
    <w:p w14:paraId="47724C22" w14:textId="77777777" w:rsidR="00397C18" w:rsidRDefault="00397C18" w:rsidP="00183DF3">
      <w:pPr>
        <w:pStyle w:val="CM24"/>
        <w:spacing w:line="253" w:lineRule="atLeast"/>
        <w:ind w:left="708"/>
        <w:jc w:val="both"/>
        <w:rPr>
          <w:sz w:val="22"/>
          <w:szCs w:val="22"/>
        </w:rPr>
      </w:pPr>
      <w:r>
        <w:rPr>
          <w:sz w:val="22"/>
          <w:szCs w:val="22"/>
        </w:rPr>
        <w:t xml:space="preserve">Anexo III. </w:t>
      </w:r>
    </w:p>
    <w:p w14:paraId="06DF904B" w14:textId="77777777" w:rsidR="00397C18" w:rsidRDefault="007D2874" w:rsidP="00183DF3">
      <w:pPr>
        <w:pStyle w:val="CM24"/>
        <w:spacing w:line="256" w:lineRule="atLeast"/>
        <w:ind w:left="713"/>
        <w:jc w:val="both"/>
        <w:rPr>
          <w:sz w:val="22"/>
          <w:szCs w:val="22"/>
        </w:rPr>
      </w:pPr>
      <w:r>
        <w:rPr>
          <w:b/>
          <w:bCs/>
          <w:i/>
          <w:iCs/>
          <w:sz w:val="22"/>
          <w:szCs w:val="22"/>
        </w:rPr>
        <w:t xml:space="preserve">"Balance en Garantía" </w:t>
      </w:r>
      <w:r>
        <w:rPr>
          <w:sz w:val="22"/>
          <w:szCs w:val="22"/>
        </w:rPr>
        <w:t xml:space="preserve">significa, en relación con el Cedente, en una Fecha de Valoración, (i) el total de Colateral que, habiendo sido objeto de Cesión al Cesionario bajo este Anexo III, no ha sido devuelto al Cedente en forma de Colateral; junto con (ii) cualquier Rendimiento de los mismos e Interés no devuelto al Cedente conforme a lo establecido en la Estipulación Cuarta. </w:t>
      </w:r>
    </w:p>
    <w:p w14:paraId="49AF3BDA" w14:textId="77777777" w:rsidR="00397C18" w:rsidRDefault="00397C18" w:rsidP="00183DF3">
      <w:pPr>
        <w:pStyle w:val="CM24"/>
        <w:spacing w:line="253" w:lineRule="atLeast"/>
        <w:ind w:left="708"/>
        <w:jc w:val="both"/>
        <w:rPr>
          <w:sz w:val="22"/>
          <w:szCs w:val="22"/>
        </w:rPr>
      </w:pPr>
      <w:r w:rsidRPr="00183DF3">
        <w:rPr>
          <w:b/>
          <w:i/>
          <w:iCs/>
          <w:sz w:val="22"/>
          <w:szCs w:val="22"/>
        </w:rPr>
        <w:t>"Cantidad a Devolver"</w:t>
      </w:r>
      <w:r>
        <w:rPr>
          <w:i/>
          <w:iCs/>
          <w:sz w:val="22"/>
          <w:szCs w:val="22"/>
        </w:rPr>
        <w:t xml:space="preserve"> </w:t>
      </w:r>
      <w:r>
        <w:rPr>
          <w:sz w:val="22"/>
          <w:szCs w:val="22"/>
        </w:rPr>
        <w:t xml:space="preserve">significa, en relación con el Cesionario, para cualquier Fecha de Valoración, el importe en que: </w:t>
      </w:r>
    </w:p>
    <w:p w14:paraId="6297F349" w14:textId="77777777" w:rsidR="00397C18" w:rsidRDefault="00397C18" w:rsidP="00183DF3">
      <w:pPr>
        <w:pStyle w:val="Default"/>
        <w:numPr>
          <w:ilvl w:val="0"/>
          <w:numId w:val="1"/>
        </w:numPr>
        <w:ind w:left="1440" w:hanging="1440"/>
        <w:jc w:val="both"/>
        <w:rPr>
          <w:color w:val="auto"/>
          <w:sz w:val="22"/>
          <w:szCs w:val="22"/>
        </w:rPr>
      </w:pPr>
      <w:r>
        <w:rPr>
          <w:color w:val="auto"/>
          <w:sz w:val="22"/>
          <w:szCs w:val="22"/>
        </w:rPr>
        <w:t>(i)</w:t>
      </w:r>
      <w:r>
        <w:rPr>
          <w:color w:val="auto"/>
          <w:sz w:val="22"/>
          <w:szCs w:val="22"/>
        </w:rPr>
        <w:tab/>
        <w:t>el Valor en esa Fecha de Valoración del Balance en Garantía (ajustado para incluir cualquier Cantidad a Entregar y excluir cualquier Cantidad a Devolver, cuya entrega efectiva no se hubiera completado y cuya Fecha de Liquidación coincidiera con, o fuera posterio</w:t>
      </w:r>
      <w:r w:rsidR="00183DF3">
        <w:rPr>
          <w:color w:val="auto"/>
          <w:sz w:val="22"/>
          <w:szCs w:val="22"/>
        </w:rPr>
        <w:t>r a, dicha Fecha de Valoración)</w:t>
      </w:r>
    </w:p>
    <w:p w14:paraId="7A5D103B" w14:textId="77777777" w:rsidR="00183DF3" w:rsidRDefault="00183DF3" w:rsidP="00183DF3">
      <w:pPr>
        <w:pStyle w:val="Default"/>
        <w:numPr>
          <w:ilvl w:val="0"/>
          <w:numId w:val="1"/>
        </w:numPr>
        <w:ind w:left="1440" w:hanging="1440"/>
        <w:jc w:val="both"/>
        <w:rPr>
          <w:color w:val="auto"/>
          <w:sz w:val="22"/>
          <w:szCs w:val="22"/>
        </w:rPr>
      </w:pPr>
    </w:p>
    <w:p w14:paraId="5F44AA08" w14:textId="77777777" w:rsidR="00397C18" w:rsidRDefault="00397C18" w:rsidP="00183DF3">
      <w:pPr>
        <w:pStyle w:val="Default"/>
        <w:numPr>
          <w:ilvl w:val="0"/>
          <w:numId w:val="1"/>
        </w:numPr>
        <w:jc w:val="both"/>
        <w:rPr>
          <w:color w:val="auto"/>
          <w:sz w:val="22"/>
          <w:szCs w:val="22"/>
        </w:rPr>
      </w:pPr>
      <w:r>
        <w:rPr>
          <w:color w:val="auto"/>
          <w:sz w:val="22"/>
          <w:szCs w:val="22"/>
        </w:rPr>
        <w:t>(ii)</w:t>
      </w:r>
      <w:r>
        <w:rPr>
          <w:color w:val="auto"/>
          <w:sz w:val="22"/>
          <w:szCs w:val="22"/>
        </w:rPr>
        <w:tab/>
        <w:t xml:space="preserve">excede la Cantidad Objeto de Garantía. </w:t>
      </w:r>
    </w:p>
    <w:p w14:paraId="683BE5D2" w14:textId="77777777" w:rsidR="00397C18" w:rsidRDefault="00397C18" w:rsidP="00183DF3">
      <w:pPr>
        <w:pStyle w:val="Default"/>
        <w:jc w:val="both"/>
        <w:rPr>
          <w:color w:val="auto"/>
          <w:sz w:val="22"/>
          <w:szCs w:val="22"/>
        </w:rPr>
      </w:pPr>
    </w:p>
    <w:p w14:paraId="5CEC9F3A" w14:textId="77777777" w:rsidR="00397C18" w:rsidRDefault="00397C18" w:rsidP="00183DF3">
      <w:pPr>
        <w:pStyle w:val="CM24"/>
        <w:spacing w:line="253" w:lineRule="atLeast"/>
        <w:ind w:left="708"/>
        <w:jc w:val="both"/>
        <w:rPr>
          <w:sz w:val="22"/>
          <w:szCs w:val="22"/>
        </w:rPr>
      </w:pPr>
      <w:r w:rsidRPr="00183DF3">
        <w:rPr>
          <w:b/>
          <w:i/>
          <w:iCs/>
          <w:sz w:val="22"/>
          <w:szCs w:val="22"/>
        </w:rPr>
        <w:t>"Cantidad a Entregar"</w:t>
      </w:r>
      <w:r>
        <w:rPr>
          <w:i/>
          <w:iCs/>
          <w:sz w:val="22"/>
          <w:szCs w:val="22"/>
        </w:rPr>
        <w:t xml:space="preserve"> </w:t>
      </w:r>
      <w:r>
        <w:rPr>
          <w:sz w:val="22"/>
          <w:szCs w:val="22"/>
        </w:rPr>
        <w:t xml:space="preserve">significa, respecto del Cedente, para cualquier Fecha de Valoración, el importe en que: </w:t>
      </w:r>
    </w:p>
    <w:p w14:paraId="7CA54A29" w14:textId="77777777" w:rsidR="00397C18" w:rsidRDefault="00397C18" w:rsidP="00183DF3">
      <w:pPr>
        <w:pStyle w:val="Default"/>
        <w:numPr>
          <w:ilvl w:val="0"/>
          <w:numId w:val="2"/>
        </w:numPr>
        <w:jc w:val="both"/>
        <w:rPr>
          <w:color w:val="auto"/>
          <w:sz w:val="22"/>
          <w:szCs w:val="22"/>
        </w:rPr>
      </w:pPr>
      <w:r>
        <w:rPr>
          <w:color w:val="auto"/>
          <w:sz w:val="22"/>
          <w:szCs w:val="22"/>
        </w:rPr>
        <w:t>(i)</w:t>
      </w:r>
      <w:r>
        <w:rPr>
          <w:color w:val="auto"/>
          <w:sz w:val="22"/>
          <w:szCs w:val="22"/>
        </w:rPr>
        <w:tab/>
        <w:t xml:space="preserve">la Cantidad Objeto de Garantía </w:t>
      </w:r>
    </w:p>
    <w:p w14:paraId="6C1AFBC8" w14:textId="77777777" w:rsidR="00183DF3" w:rsidRDefault="00183DF3" w:rsidP="00183DF3">
      <w:pPr>
        <w:pStyle w:val="Default"/>
        <w:numPr>
          <w:ilvl w:val="0"/>
          <w:numId w:val="2"/>
        </w:numPr>
        <w:jc w:val="both"/>
        <w:rPr>
          <w:color w:val="auto"/>
          <w:sz w:val="22"/>
          <w:szCs w:val="22"/>
        </w:rPr>
      </w:pPr>
    </w:p>
    <w:p w14:paraId="623A0F48" w14:textId="77777777" w:rsidR="00397C18" w:rsidRDefault="00397C18" w:rsidP="00183DF3">
      <w:pPr>
        <w:pStyle w:val="Default"/>
        <w:numPr>
          <w:ilvl w:val="0"/>
          <w:numId w:val="2"/>
        </w:numPr>
        <w:ind w:left="1440" w:hanging="1440"/>
        <w:jc w:val="both"/>
        <w:rPr>
          <w:color w:val="auto"/>
          <w:sz w:val="22"/>
          <w:szCs w:val="22"/>
        </w:rPr>
      </w:pPr>
      <w:r>
        <w:rPr>
          <w:color w:val="auto"/>
          <w:sz w:val="22"/>
          <w:szCs w:val="22"/>
        </w:rPr>
        <w:t>(ii)</w:t>
      </w:r>
      <w:r>
        <w:rPr>
          <w:color w:val="auto"/>
          <w:sz w:val="22"/>
          <w:szCs w:val="22"/>
        </w:rPr>
        <w:tab/>
        <w:t xml:space="preserve">excede el Valor en esa Fecha de Valoración del Balance en Garantía (ajustado para incluir cualquier Cantidad a Entregar y excluir cualquier Cantidad a Devolver, cuya entrega efectiva en cualquiera de ambos casos no se hubiera completado, y cuya Fecha de Liquidación coincidiera con, o fuera posterior a, dicha Fecha de Valoración). </w:t>
      </w:r>
    </w:p>
    <w:p w14:paraId="68691F16" w14:textId="77777777" w:rsidR="00397C18" w:rsidRDefault="00397C18" w:rsidP="00183DF3">
      <w:pPr>
        <w:pStyle w:val="Default"/>
        <w:jc w:val="both"/>
        <w:rPr>
          <w:color w:val="auto"/>
          <w:sz w:val="22"/>
          <w:szCs w:val="22"/>
        </w:rPr>
      </w:pPr>
    </w:p>
    <w:p w14:paraId="23DA7858" w14:textId="77777777" w:rsidR="00397C18" w:rsidRDefault="00397C18" w:rsidP="00183DF3">
      <w:pPr>
        <w:pStyle w:val="CM24"/>
        <w:spacing w:line="253" w:lineRule="atLeast"/>
        <w:ind w:left="708"/>
        <w:jc w:val="both"/>
        <w:rPr>
          <w:sz w:val="22"/>
          <w:szCs w:val="22"/>
        </w:rPr>
      </w:pPr>
      <w:r>
        <w:rPr>
          <w:b/>
          <w:bCs/>
          <w:i/>
          <w:iCs/>
          <w:sz w:val="22"/>
          <w:szCs w:val="22"/>
        </w:rPr>
        <w:t xml:space="preserve">"Cantidad Mínima Objeto de Cesión" </w:t>
      </w:r>
      <w:r>
        <w:rPr>
          <w:sz w:val="22"/>
          <w:szCs w:val="22"/>
        </w:rPr>
        <w:t xml:space="preserve">significa, respecto a cada una de las Partes, la cantidad especificada para dicha Parte en la Estipulación Adicional; y en caso de que no se determine, dicha cantidad será cero. </w:t>
      </w:r>
    </w:p>
    <w:p w14:paraId="0F478A49" w14:textId="77777777" w:rsidR="00397C18" w:rsidRDefault="00397C18" w:rsidP="00183DF3">
      <w:pPr>
        <w:pStyle w:val="CM24"/>
        <w:spacing w:line="253" w:lineRule="atLeast"/>
        <w:ind w:left="650"/>
        <w:jc w:val="both"/>
        <w:rPr>
          <w:sz w:val="22"/>
          <w:szCs w:val="22"/>
        </w:rPr>
      </w:pPr>
      <w:r w:rsidRPr="00183DF3">
        <w:rPr>
          <w:b/>
          <w:i/>
          <w:iCs/>
          <w:sz w:val="22"/>
          <w:szCs w:val="22"/>
        </w:rPr>
        <w:t>"Cantidad Objeto de Garantía"</w:t>
      </w:r>
      <w:r>
        <w:rPr>
          <w:i/>
          <w:iCs/>
          <w:sz w:val="22"/>
          <w:szCs w:val="22"/>
        </w:rPr>
        <w:t xml:space="preserve"> </w:t>
      </w:r>
      <w:r>
        <w:rPr>
          <w:sz w:val="22"/>
          <w:szCs w:val="22"/>
        </w:rPr>
        <w:t xml:space="preserve">significa, en relación al Cesionario en una Fecha de Valoración, (i) el Riesgo Neto del Cesionario menos (ii) el Importe Máximo del Cedente. </w:t>
      </w:r>
      <w:r>
        <w:rPr>
          <w:sz w:val="22"/>
          <w:szCs w:val="22"/>
        </w:rPr>
        <w:lastRenderedPageBreak/>
        <w:t xml:space="preserve">Si el cálculo de la Cantidad Objeto de Garantía diera como resultado un número menor que cero, la Cantidad Objeto de Garantía se entenderá que es cero. </w:t>
      </w:r>
    </w:p>
    <w:p w14:paraId="4690BC7B" w14:textId="77777777" w:rsidR="00397C18" w:rsidRDefault="00397C18" w:rsidP="00183DF3">
      <w:pPr>
        <w:pStyle w:val="CM24"/>
        <w:spacing w:line="253" w:lineRule="atLeast"/>
        <w:ind w:left="655" w:right="68"/>
        <w:jc w:val="both"/>
        <w:rPr>
          <w:sz w:val="22"/>
          <w:szCs w:val="22"/>
        </w:rPr>
      </w:pPr>
      <w:r w:rsidRPr="00183DF3">
        <w:rPr>
          <w:b/>
          <w:i/>
          <w:iCs/>
          <w:sz w:val="22"/>
          <w:szCs w:val="22"/>
        </w:rPr>
        <w:t>"Cedente"</w:t>
      </w:r>
      <w:r>
        <w:rPr>
          <w:i/>
          <w:iCs/>
          <w:sz w:val="22"/>
          <w:szCs w:val="22"/>
        </w:rPr>
        <w:t xml:space="preserve"> </w:t>
      </w:r>
      <w:r>
        <w:rPr>
          <w:sz w:val="22"/>
          <w:szCs w:val="22"/>
        </w:rPr>
        <w:t xml:space="preserve">significa, en relación con el Cesionario en cada momento, la otra </w:t>
      </w:r>
      <w:r w:rsidR="007D2874">
        <w:rPr>
          <w:sz w:val="22"/>
          <w:szCs w:val="22"/>
        </w:rPr>
        <w:t>Parte</w:t>
      </w:r>
      <w:r w:rsidR="00183DF3">
        <w:rPr>
          <w:sz w:val="22"/>
          <w:szCs w:val="22"/>
        </w:rPr>
        <w:t xml:space="preserve"> del CMO</w:t>
      </w:r>
      <w:r>
        <w:rPr>
          <w:sz w:val="22"/>
          <w:szCs w:val="22"/>
        </w:rPr>
        <w:t xml:space="preserve">F. </w:t>
      </w:r>
    </w:p>
    <w:p w14:paraId="399B89BC" w14:textId="77777777" w:rsidR="00397C18" w:rsidRDefault="00397C18" w:rsidP="00183DF3">
      <w:pPr>
        <w:pStyle w:val="CM8"/>
        <w:ind w:left="650"/>
        <w:jc w:val="both"/>
        <w:rPr>
          <w:sz w:val="22"/>
          <w:szCs w:val="22"/>
        </w:rPr>
      </w:pPr>
      <w:r w:rsidRPr="00183DF3">
        <w:rPr>
          <w:b/>
          <w:i/>
          <w:iCs/>
          <w:sz w:val="22"/>
          <w:szCs w:val="22"/>
        </w:rPr>
        <w:t>"Cesionario"</w:t>
      </w:r>
      <w:r>
        <w:rPr>
          <w:i/>
          <w:iCs/>
          <w:sz w:val="22"/>
          <w:szCs w:val="22"/>
        </w:rPr>
        <w:t xml:space="preserve"> </w:t>
      </w:r>
      <w:r>
        <w:rPr>
          <w:sz w:val="22"/>
          <w:szCs w:val="22"/>
        </w:rPr>
        <w:t>significa, en relación a cada Fecha de Valoración, la Parte respecto de la cual la Exposición es de signo positivo y, en relación a un Balance en Garantía, la Parte que, de acuerdo con este Anexo III, ha recibido la propiedad en garantí</w:t>
      </w:r>
      <w:r w:rsidR="00183DF3">
        <w:rPr>
          <w:sz w:val="22"/>
          <w:szCs w:val="22"/>
        </w:rPr>
        <w:t>a de dicho Balance en Garantía.</w:t>
      </w:r>
    </w:p>
    <w:p w14:paraId="1EFFBCFA" w14:textId="77777777" w:rsidR="00183DF3" w:rsidRPr="00183DF3" w:rsidRDefault="00183DF3" w:rsidP="00183DF3">
      <w:pPr>
        <w:pStyle w:val="Default"/>
      </w:pPr>
    </w:p>
    <w:p w14:paraId="540187D4" w14:textId="77777777" w:rsidR="00397C18" w:rsidRDefault="00397C18" w:rsidP="000278B3">
      <w:pPr>
        <w:pStyle w:val="CM24"/>
        <w:spacing w:line="248" w:lineRule="atLeast"/>
        <w:ind w:left="709"/>
        <w:jc w:val="both"/>
        <w:rPr>
          <w:sz w:val="22"/>
          <w:szCs w:val="22"/>
        </w:rPr>
      </w:pPr>
      <w:r w:rsidRPr="000278B3">
        <w:rPr>
          <w:b/>
          <w:i/>
          <w:iCs/>
          <w:sz w:val="22"/>
          <w:szCs w:val="22"/>
        </w:rPr>
        <w:t>"Colateral"</w:t>
      </w:r>
      <w:r>
        <w:rPr>
          <w:i/>
          <w:iCs/>
          <w:sz w:val="26"/>
          <w:szCs w:val="26"/>
        </w:rPr>
        <w:t xml:space="preserve"> </w:t>
      </w:r>
      <w:r>
        <w:rPr>
          <w:sz w:val="22"/>
          <w:szCs w:val="22"/>
        </w:rPr>
        <w:t xml:space="preserve">significa los activos determinados como tales por cada una de las Partes en la Estipulación Adicional como activos susceptibles de serle entregados en forma de Cesión en Garantía a esa Parte. </w:t>
      </w:r>
    </w:p>
    <w:p w14:paraId="59C4B505" w14:textId="77777777" w:rsidR="00397C18" w:rsidRDefault="00397C18" w:rsidP="000278B3">
      <w:pPr>
        <w:pStyle w:val="CM24"/>
        <w:spacing w:line="248" w:lineRule="atLeast"/>
        <w:ind w:left="709"/>
        <w:jc w:val="both"/>
        <w:rPr>
          <w:sz w:val="22"/>
          <w:szCs w:val="22"/>
        </w:rPr>
      </w:pPr>
      <w:r>
        <w:rPr>
          <w:b/>
          <w:bCs/>
          <w:i/>
          <w:iCs/>
          <w:sz w:val="22"/>
          <w:szCs w:val="22"/>
        </w:rPr>
        <w:t xml:space="preserve">"Colateral Equivalente" </w:t>
      </w:r>
      <w:r>
        <w:rPr>
          <w:sz w:val="22"/>
          <w:szCs w:val="22"/>
        </w:rPr>
        <w:t xml:space="preserve">significa, en relación con cualquier Colateral que forme parte del Balance en Garantía, un activo fungible con aquél. </w:t>
      </w:r>
    </w:p>
    <w:p w14:paraId="6A6154F5" w14:textId="77777777" w:rsidR="00397C18" w:rsidRDefault="007D2874" w:rsidP="000278B3">
      <w:pPr>
        <w:pStyle w:val="CM24"/>
        <w:spacing w:line="256" w:lineRule="atLeast"/>
        <w:ind w:left="709"/>
        <w:jc w:val="both"/>
        <w:rPr>
          <w:sz w:val="22"/>
          <w:szCs w:val="22"/>
        </w:rPr>
      </w:pPr>
      <w:r w:rsidRPr="000278B3">
        <w:rPr>
          <w:b/>
          <w:i/>
          <w:iCs/>
          <w:sz w:val="22"/>
          <w:szCs w:val="22"/>
        </w:rPr>
        <w:t>"Contravalor en euros"</w:t>
      </w:r>
      <w:r>
        <w:rPr>
          <w:i/>
          <w:iCs/>
          <w:sz w:val="18"/>
          <w:szCs w:val="18"/>
        </w:rPr>
        <w:t xml:space="preserve"> </w:t>
      </w:r>
      <w:r>
        <w:rPr>
          <w:sz w:val="22"/>
          <w:szCs w:val="22"/>
        </w:rPr>
        <w:t xml:space="preserve">significa, en relación con una cantidad denominada en una moneda distinta del Euro (la "divisa."), en una Fecha de Valoración, la cantidad de Euros necesaria para la compra de dicha cantidad de Divisa al tipo de cambio de contado fijado por el Agente de Valoración con fecha valor dicha Fecha de Valoración. </w:t>
      </w:r>
    </w:p>
    <w:p w14:paraId="33053A88" w14:textId="77777777" w:rsidR="00397C18" w:rsidRDefault="00397C18" w:rsidP="000278B3">
      <w:pPr>
        <w:pStyle w:val="CM24"/>
        <w:spacing w:line="256" w:lineRule="atLeast"/>
        <w:ind w:left="709"/>
        <w:jc w:val="both"/>
        <w:rPr>
          <w:sz w:val="22"/>
          <w:szCs w:val="22"/>
        </w:rPr>
      </w:pPr>
      <w:r>
        <w:rPr>
          <w:b/>
          <w:bCs/>
          <w:i/>
          <w:iCs/>
          <w:sz w:val="22"/>
          <w:szCs w:val="22"/>
        </w:rPr>
        <w:t>"</w:t>
      </w:r>
      <w:r w:rsidR="007D2874">
        <w:rPr>
          <w:b/>
          <w:bCs/>
          <w:i/>
          <w:iCs/>
          <w:sz w:val="22"/>
          <w:szCs w:val="22"/>
        </w:rPr>
        <w:t>Cuenta</w:t>
      </w:r>
      <w:r>
        <w:rPr>
          <w:b/>
          <w:bCs/>
          <w:i/>
          <w:iCs/>
          <w:sz w:val="22"/>
          <w:szCs w:val="22"/>
        </w:rPr>
        <w:t xml:space="preserve"> de </w:t>
      </w:r>
      <w:r w:rsidR="007D2874">
        <w:rPr>
          <w:b/>
          <w:bCs/>
          <w:i/>
          <w:iCs/>
          <w:sz w:val="22"/>
          <w:szCs w:val="22"/>
        </w:rPr>
        <w:t>Efectivo</w:t>
      </w:r>
      <w:r>
        <w:rPr>
          <w:b/>
          <w:bCs/>
          <w:i/>
          <w:iCs/>
          <w:sz w:val="22"/>
          <w:szCs w:val="22"/>
        </w:rPr>
        <w:t xml:space="preserve"> " </w:t>
      </w:r>
      <w:r>
        <w:rPr>
          <w:sz w:val="22"/>
          <w:szCs w:val="22"/>
        </w:rPr>
        <w:t xml:space="preserve">para cada Parte, la cuenta de efectivo </w:t>
      </w:r>
      <w:r w:rsidR="007D2874">
        <w:rPr>
          <w:sz w:val="22"/>
          <w:szCs w:val="22"/>
        </w:rPr>
        <w:t>señalada</w:t>
      </w:r>
      <w:r>
        <w:rPr>
          <w:sz w:val="22"/>
          <w:szCs w:val="22"/>
        </w:rPr>
        <w:t xml:space="preserve"> al efecto en la Estipulación Adicional, o cualquier otra que la sustituya previa notificación por escrito a la otra Parte. </w:t>
      </w:r>
    </w:p>
    <w:p w14:paraId="6AA35316" w14:textId="77777777" w:rsidR="00397C18" w:rsidRDefault="00397C18" w:rsidP="000278B3">
      <w:pPr>
        <w:pStyle w:val="CM24"/>
        <w:spacing w:line="256" w:lineRule="atLeast"/>
        <w:ind w:left="709"/>
        <w:jc w:val="both"/>
        <w:rPr>
          <w:sz w:val="22"/>
          <w:szCs w:val="22"/>
        </w:rPr>
      </w:pPr>
      <w:r>
        <w:rPr>
          <w:b/>
          <w:bCs/>
          <w:i/>
          <w:iCs/>
          <w:sz w:val="22"/>
          <w:szCs w:val="22"/>
        </w:rPr>
        <w:t xml:space="preserve">"Cuenta de Valores" </w:t>
      </w:r>
      <w:r>
        <w:rPr>
          <w:sz w:val="22"/>
          <w:szCs w:val="22"/>
        </w:rPr>
        <w:t xml:space="preserve">para cada Parte, la cuenta de valores </w:t>
      </w:r>
      <w:r w:rsidR="007D2874">
        <w:rPr>
          <w:sz w:val="22"/>
          <w:szCs w:val="22"/>
        </w:rPr>
        <w:t>señalada</w:t>
      </w:r>
      <w:r>
        <w:rPr>
          <w:sz w:val="22"/>
          <w:szCs w:val="22"/>
        </w:rPr>
        <w:t xml:space="preserve"> al efecto en la Estipulación Adicional, o cualquier otra que la sustituya previa notificación por escrito a la otra Parte. </w:t>
      </w:r>
    </w:p>
    <w:p w14:paraId="16B77179" w14:textId="77777777" w:rsidR="00397C18" w:rsidRDefault="00397C18" w:rsidP="000278B3">
      <w:pPr>
        <w:pStyle w:val="CM24"/>
        <w:ind w:left="709"/>
        <w:jc w:val="both"/>
        <w:rPr>
          <w:sz w:val="22"/>
          <w:szCs w:val="22"/>
        </w:rPr>
      </w:pPr>
      <w:r w:rsidRPr="000278B3">
        <w:rPr>
          <w:b/>
          <w:i/>
          <w:iCs/>
          <w:sz w:val="22"/>
          <w:szCs w:val="22"/>
        </w:rPr>
        <w:t>"Dí</w:t>
      </w:r>
      <w:r w:rsidR="000278B3">
        <w:rPr>
          <w:b/>
          <w:i/>
          <w:iCs/>
          <w:sz w:val="22"/>
          <w:szCs w:val="22"/>
        </w:rPr>
        <w:t>a Hábil”</w:t>
      </w:r>
      <w:r w:rsidR="000278B3">
        <w:rPr>
          <w:i/>
          <w:iCs/>
          <w:sz w:val="22"/>
          <w:szCs w:val="22"/>
        </w:rPr>
        <w:t xml:space="preserve"> </w:t>
      </w:r>
      <w:r w:rsidR="000278B3">
        <w:rPr>
          <w:iCs/>
          <w:sz w:val="22"/>
          <w:szCs w:val="22"/>
        </w:rPr>
        <w:t>sin</w:t>
      </w:r>
      <w:r>
        <w:rPr>
          <w:i/>
          <w:iCs/>
          <w:sz w:val="26"/>
          <w:szCs w:val="26"/>
        </w:rPr>
        <w:t xml:space="preserve"> </w:t>
      </w:r>
      <w:r>
        <w:rPr>
          <w:sz w:val="22"/>
          <w:szCs w:val="22"/>
        </w:rPr>
        <w:t xml:space="preserve">perjuicio de lo que establezca la Estipulación Adicional, será: </w:t>
      </w:r>
    </w:p>
    <w:p w14:paraId="1688F9D0" w14:textId="77777777" w:rsidR="00397C18" w:rsidRPr="000278B3" w:rsidRDefault="00397C18" w:rsidP="000278B3">
      <w:pPr>
        <w:pStyle w:val="Default"/>
        <w:numPr>
          <w:ilvl w:val="0"/>
          <w:numId w:val="2"/>
        </w:numPr>
        <w:ind w:left="1440" w:hanging="1440"/>
        <w:jc w:val="both"/>
        <w:rPr>
          <w:color w:val="auto"/>
          <w:sz w:val="22"/>
          <w:szCs w:val="22"/>
        </w:rPr>
      </w:pPr>
      <w:r>
        <w:rPr>
          <w:sz w:val="22"/>
          <w:szCs w:val="22"/>
        </w:rPr>
        <w:t>(</w:t>
      </w:r>
      <w:r w:rsidRPr="000278B3">
        <w:rPr>
          <w:color w:val="auto"/>
          <w:sz w:val="22"/>
          <w:szCs w:val="22"/>
        </w:rPr>
        <w:t xml:space="preserve">i) </w:t>
      </w:r>
      <w:r w:rsidR="00030DD2">
        <w:rPr>
          <w:color w:val="auto"/>
          <w:sz w:val="22"/>
          <w:szCs w:val="22"/>
        </w:rPr>
        <w:tab/>
      </w:r>
      <w:r w:rsidRPr="000278B3">
        <w:rPr>
          <w:color w:val="auto"/>
          <w:sz w:val="22"/>
          <w:szCs w:val="22"/>
        </w:rPr>
        <w:t xml:space="preserve">en relación a la transmisión de efectivo, cualquier día en que los bancos estén abiertos para efectuar operaciones financieras en el lugar o lugares donde se encuentre la cuenta especificada en la Estipulación Adicional o, en su defecto, en el centro financiero de la moneda de dicha Cesión; </w:t>
      </w:r>
    </w:p>
    <w:p w14:paraId="1FE465A6" w14:textId="77777777" w:rsidR="00030DD2" w:rsidRDefault="00030DD2" w:rsidP="000278B3">
      <w:pPr>
        <w:pStyle w:val="Default"/>
        <w:numPr>
          <w:ilvl w:val="0"/>
          <w:numId w:val="2"/>
        </w:numPr>
        <w:jc w:val="both"/>
        <w:rPr>
          <w:color w:val="auto"/>
          <w:sz w:val="22"/>
          <w:szCs w:val="22"/>
        </w:rPr>
      </w:pPr>
    </w:p>
    <w:p w14:paraId="181C56EA" w14:textId="77777777" w:rsidR="006768D7" w:rsidRPr="00C1628F" w:rsidRDefault="00030DD2" w:rsidP="006768D7">
      <w:pPr>
        <w:pStyle w:val="Default"/>
        <w:numPr>
          <w:ilvl w:val="0"/>
          <w:numId w:val="2"/>
        </w:numPr>
        <w:ind w:left="1440" w:hanging="1440"/>
        <w:jc w:val="both"/>
        <w:rPr>
          <w:color w:val="auto"/>
          <w:sz w:val="22"/>
          <w:szCs w:val="22"/>
        </w:rPr>
      </w:pPr>
      <w:r>
        <w:rPr>
          <w:color w:val="auto"/>
          <w:sz w:val="22"/>
          <w:szCs w:val="22"/>
        </w:rPr>
        <w:t>(ii)</w:t>
      </w:r>
      <w:r>
        <w:rPr>
          <w:color w:val="auto"/>
          <w:sz w:val="22"/>
          <w:szCs w:val="22"/>
        </w:rPr>
        <w:tab/>
      </w:r>
      <w:r w:rsidR="00397C18" w:rsidRPr="000278B3">
        <w:rPr>
          <w:color w:val="auto"/>
          <w:sz w:val="22"/>
          <w:szCs w:val="22"/>
        </w:rPr>
        <w:t xml:space="preserve">en relación a la transmisión de valores, cualquier día en que </w:t>
      </w:r>
      <w:r w:rsidR="004312B4">
        <w:rPr>
          <w:color w:val="auto"/>
          <w:sz w:val="22"/>
          <w:szCs w:val="22"/>
        </w:rPr>
        <w:t xml:space="preserve">en relación a la transmisión de valores, cualquier día en que </w:t>
      </w:r>
      <w:r w:rsidR="00397C18" w:rsidRPr="00C1628F">
        <w:rPr>
          <w:color w:val="auto"/>
          <w:sz w:val="22"/>
          <w:szCs w:val="22"/>
        </w:rPr>
        <w:t xml:space="preserve">el sistema de compensación acordado entre las Partes para la entrega de los valores esté abierto para la aceptación y ejecución de instrucciones de liquidación o, si la entrega de valores está contemplada por otros medios, cualquier día en que los bancos de la plaza acordada por las Partes para realizar la entrega estén abiertos; </w:t>
      </w:r>
    </w:p>
    <w:p w14:paraId="123F1F09" w14:textId="77777777" w:rsidR="00030DD2" w:rsidRDefault="00030DD2" w:rsidP="000278B3">
      <w:pPr>
        <w:pStyle w:val="Default"/>
        <w:numPr>
          <w:ilvl w:val="0"/>
          <w:numId w:val="2"/>
        </w:numPr>
        <w:jc w:val="both"/>
        <w:rPr>
          <w:color w:val="auto"/>
          <w:sz w:val="22"/>
          <w:szCs w:val="22"/>
        </w:rPr>
      </w:pPr>
    </w:p>
    <w:p w14:paraId="1A964F73" w14:textId="77777777" w:rsidR="00397C18" w:rsidRPr="000278B3" w:rsidRDefault="00397C18" w:rsidP="00030DD2">
      <w:pPr>
        <w:pStyle w:val="Default"/>
        <w:numPr>
          <w:ilvl w:val="0"/>
          <w:numId w:val="2"/>
        </w:numPr>
        <w:ind w:left="1440" w:hanging="1440"/>
        <w:jc w:val="both"/>
        <w:rPr>
          <w:color w:val="auto"/>
          <w:sz w:val="22"/>
          <w:szCs w:val="22"/>
        </w:rPr>
      </w:pPr>
      <w:r w:rsidRPr="000278B3">
        <w:rPr>
          <w:color w:val="auto"/>
          <w:sz w:val="22"/>
          <w:szCs w:val="22"/>
        </w:rPr>
        <w:t>(iii)</w:t>
      </w:r>
      <w:r w:rsidRPr="000278B3">
        <w:rPr>
          <w:color w:val="auto"/>
          <w:sz w:val="22"/>
          <w:szCs w:val="22"/>
        </w:rPr>
        <w:tab/>
        <w:t xml:space="preserve">en relación a cualquier valoración a realizar de acuerdo con este Anexo III, cualquier día en que los bancos estén abiertos para efectuar operaciones financieras en la plaza de ubicación del Agente de Valoración o, en su caso, la plaza acordada por las Partes a tal efecto; y </w:t>
      </w:r>
    </w:p>
    <w:p w14:paraId="1372A494" w14:textId="77777777" w:rsidR="00030DD2" w:rsidRPr="00030DD2" w:rsidRDefault="00030DD2" w:rsidP="000278B3">
      <w:pPr>
        <w:pStyle w:val="Default"/>
        <w:numPr>
          <w:ilvl w:val="0"/>
          <w:numId w:val="2"/>
        </w:numPr>
        <w:jc w:val="both"/>
        <w:rPr>
          <w:sz w:val="22"/>
          <w:szCs w:val="22"/>
        </w:rPr>
      </w:pPr>
    </w:p>
    <w:p w14:paraId="30208547" w14:textId="77777777" w:rsidR="00397C18" w:rsidRDefault="007D2874" w:rsidP="00030DD2">
      <w:pPr>
        <w:pStyle w:val="Default"/>
        <w:numPr>
          <w:ilvl w:val="0"/>
          <w:numId w:val="2"/>
        </w:numPr>
        <w:ind w:left="1440" w:hanging="1440"/>
        <w:jc w:val="both"/>
        <w:rPr>
          <w:sz w:val="22"/>
          <w:szCs w:val="22"/>
        </w:rPr>
      </w:pPr>
      <w:r w:rsidRPr="000278B3">
        <w:rPr>
          <w:color w:val="auto"/>
          <w:sz w:val="22"/>
          <w:szCs w:val="22"/>
        </w:rPr>
        <w:t>(iv)</w:t>
      </w:r>
      <w:r w:rsidRPr="000278B3">
        <w:rPr>
          <w:color w:val="auto"/>
          <w:sz w:val="22"/>
          <w:szCs w:val="22"/>
        </w:rPr>
        <w:tab/>
        <w:t>en relación a cualquier notificación o comunicación a realizar bajo este Anexo III, cualquier día en que los bancos estén abiertos para efectuar operaciones financieras en el lugar de</w:t>
      </w:r>
      <w:r w:rsidR="00871DA2">
        <w:rPr>
          <w:color w:val="auto"/>
          <w:sz w:val="22"/>
          <w:szCs w:val="22"/>
        </w:rPr>
        <w:t>l</w:t>
      </w:r>
      <w:r w:rsidRPr="000278B3">
        <w:rPr>
          <w:color w:val="auto"/>
          <w:sz w:val="22"/>
          <w:szCs w:val="22"/>
        </w:rPr>
        <w:t xml:space="preserve"> domicilio señalado en la Estipulación</w:t>
      </w:r>
      <w:r>
        <w:rPr>
          <w:sz w:val="22"/>
          <w:szCs w:val="22"/>
        </w:rPr>
        <w:t xml:space="preserve"> Adicional para la recepción de las mismas. </w:t>
      </w:r>
    </w:p>
    <w:p w14:paraId="6AA5C184" w14:textId="77777777" w:rsidR="00030DD2" w:rsidRDefault="00030DD2" w:rsidP="000278B3">
      <w:pPr>
        <w:pStyle w:val="CM24"/>
        <w:spacing w:line="256" w:lineRule="atLeast"/>
        <w:ind w:left="709"/>
        <w:jc w:val="both"/>
        <w:rPr>
          <w:sz w:val="22"/>
          <w:szCs w:val="22"/>
        </w:rPr>
      </w:pPr>
    </w:p>
    <w:p w14:paraId="73FDE527" w14:textId="77777777" w:rsidR="00397C18" w:rsidRDefault="00397C18" w:rsidP="000278B3">
      <w:pPr>
        <w:pStyle w:val="CM24"/>
        <w:spacing w:line="256" w:lineRule="atLeast"/>
        <w:ind w:left="709"/>
        <w:jc w:val="both"/>
        <w:rPr>
          <w:sz w:val="22"/>
          <w:szCs w:val="22"/>
        </w:rPr>
      </w:pPr>
      <w:r>
        <w:rPr>
          <w:sz w:val="22"/>
          <w:szCs w:val="22"/>
        </w:rPr>
        <w:t xml:space="preserve">A los efectos de este Anexo III, se considerará que el sábado no es Día Hábil. </w:t>
      </w:r>
    </w:p>
    <w:p w14:paraId="6E4D0133" w14:textId="77777777" w:rsidR="00397C18" w:rsidRDefault="00397C18" w:rsidP="000278B3">
      <w:pPr>
        <w:pStyle w:val="CM24"/>
        <w:spacing w:line="251" w:lineRule="atLeast"/>
        <w:ind w:left="709" w:right="80"/>
        <w:jc w:val="both"/>
        <w:rPr>
          <w:sz w:val="22"/>
          <w:szCs w:val="22"/>
        </w:rPr>
      </w:pPr>
      <w:r w:rsidRPr="00030DD2">
        <w:rPr>
          <w:b/>
          <w:i/>
          <w:iCs/>
          <w:sz w:val="22"/>
          <w:szCs w:val="22"/>
        </w:rPr>
        <w:t>"Divisa Admitida"</w:t>
      </w:r>
      <w:r>
        <w:rPr>
          <w:i/>
          <w:iCs/>
          <w:sz w:val="26"/>
          <w:szCs w:val="26"/>
        </w:rPr>
        <w:t xml:space="preserve"> </w:t>
      </w:r>
      <w:r>
        <w:rPr>
          <w:sz w:val="22"/>
          <w:szCs w:val="22"/>
        </w:rPr>
        <w:t xml:space="preserve">significa, cada una de las Divisas especificadas en la Estipulación Adicional, si esa moneda se encuentra libremente disponible. </w:t>
      </w:r>
      <w:r w:rsidR="00A949C6">
        <w:rPr>
          <w:sz w:val="22"/>
          <w:szCs w:val="22"/>
        </w:rPr>
        <w:t>En caso de no especificarse se entenderá que la Divisa Admitida es el euro.</w:t>
      </w:r>
    </w:p>
    <w:p w14:paraId="1B34016F" w14:textId="77777777" w:rsidR="00397C18" w:rsidRDefault="00397C18" w:rsidP="000278B3">
      <w:pPr>
        <w:pStyle w:val="CM24"/>
        <w:spacing w:line="256" w:lineRule="atLeast"/>
        <w:ind w:left="709"/>
        <w:jc w:val="both"/>
        <w:rPr>
          <w:sz w:val="22"/>
          <w:szCs w:val="22"/>
        </w:rPr>
      </w:pPr>
      <w:r w:rsidRPr="00030DD2">
        <w:rPr>
          <w:b/>
          <w:i/>
          <w:iCs/>
          <w:sz w:val="22"/>
          <w:szCs w:val="22"/>
        </w:rPr>
        <w:t>"Estipulación Adicional"</w:t>
      </w:r>
      <w:r>
        <w:rPr>
          <w:i/>
          <w:iCs/>
          <w:sz w:val="26"/>
          <w:szCs w:val="26"/>
        </w:rPr>
        <w:t xml:space="preserve"> </w:t>
      </w:r>
      <w:r>
        <w:rPr>
          <w:sz w:val="22"/>
          <w:szCs w:val="22"/>
        </w:rPr>
        <w:t xml:space="preserve">significa la estipulación que se anexa al presente Anexo III, formando parte integrante del mismo, en el que las Partes realizan las elecciones previstas en dicho Anexo III. </w:t>
      </w:r>
    </w:p>
    <w:p w14:paraId="3527B533" w14:textId="77777777" w:rsidR="00397C18" w:rsidRDefault="00397C18" w:rsidP="00871DA2">
      <w:pPr>
        <w:pStyle w:val="CM25"/>
        <w:spacing w:after="0"/>
        <w:ind w:left="709"/>
        <w:jc w:val="both"/>
        <w:rPr>
          <w:sz w:val="22"/>
          <w:szCs w:val="22"/>
        </w:rPr>
      </w:pPr>
      <w:r>
        <w:rPr>
          <w:b/>
          <w:bCs/>
          <w:i/>
          <w:iCs/>
          <w:sz w:val="22"/>
          <w:szCs w:val="22"/>
        </w:rPr>
        <w:t xml:space="preserve">"Fecha de Cesión" </w:t>
      </w:r>
      <w:r>
        <w:rPr>
          <w:sz w:val="22"/>
          <w:szCs w:val="22"/>
        </w:rPr>
        <w:t xml:space="preserve">significa la fecha valor de una Cesión de Colateral. </w:t>
      </w:r>
    </w:p>
    <w:p w14:paraId="4F5F3001" w14:textId="77777777" w:rsidR="00871DA2" w:rsidRPr="00871DA2" w:rsidRDefault="00871DA2" w:rsidP="00871DA2">
      <w:pPr>
        <w:pStyle w:val="Default"/>
      </w:pPr>
    </w:p>
    <w:p w14:paraId="11C18556" w14:textId="77777777" w:rsidR="00473E77" w:rsidRPr="00473E77" w:rsidRDefault="00397C18" w:rsidP="00EB770D">
      <w:pPr>
        <w:pStyle w:val="CM24"/>
        <w:ind w:left="709"/>
        <w:jc w:val="both"/>
      </w:pPr>
      <w:r w:rsidRPr="00030DD2">
        <w:rPr>
          <w:b/>
          <w:i/>
          <w:iCs/>
          <w:sz w:val="22"/>
          <w:szCs w:val="22"/>
        </w:rPr>
        <w:t xml:space="preserve">"Fecha de </w:t>
      </w:r>
      <w:r w:rsidR="007D2874" w:rsidRPr="00030DD2">
        <w:rPr>
          <w:b/>
          <w:i/>
          <w:iCs/>
          <w:sz w:val="22"/>
          <w:szCs w:val="22"/>
        </w:rPr>
        <w:t>Intercambio"</w:t>
      </w:r>
      <w:r w:rsidR="007D2874">
        <w:rPr>
          <w:i/>
          <w:iCs/>
          <w:sz w:val="22"/>
          <w:szCs w:val="22"/>
        </w:rPr>
        <w:t xml:space="preserve"> </w:t>
      </w:r>
      <w:r w:rsidR="007D2874">
        <w:rPr>
          <w:iCs/>
          <w:sz w:val="22"/>
          <w:szCs w:val="22"/>
        </w:rPr>
        <w:t>tiene</w:t>
      </w:r>
      <w:r>
        <w:rPr>
          <w:i/>
          <w:iCs/>
          <w:sz w:val="22"/>
          <w:szCs w:val="22"/>
        </w:rPr>
        <w:t xml:space="preserve"> </w:t>
      </w:r>
      <w:r>
        <w:rPr>
          <w:sz w:val="22"/>
          <w:szCs w:val="22"/>
        </w:rPr>
        <w:t xml:space="preserve">el significado dado en la Estipulación Adicional. </w:t>
      </w:r>
    </w:p>
    <w:p w14:paraId="4824E818" w14:textId="77777777" w:rsidR="00397C18" w:rsidRDefault="007D2874" w:rsidP="00183DF3">
      <w:pPr>
        <w:pStyle w:val="CM24"/>
        <w:spacing w:line="258" w:lineRule="atLeast"/>
        <w:ind w:left="709"/>
        <w:jc w:val="both"/>
        <w:rPr>
          <w:sz w:val="22"/>
          <w:szCs w:val="22"/>
        </w:rPr>
      </w:pPr>
      <w:r w:rsidRPr="00030DD2">
        <w:rPr>
          <w:b/>
          <w:i/>
          <w:iCs/>
          <w:sz w:val="22"/>
          <w:szCs w:val="22"/>
        </w:rPr>
        <w:t>"Fecha de Liquidación"</w:t>
      </w:r>
      <w:r>
        <w:rPr>
          <w:i/>
          <w:iCs/>
          <w:sz w:val="20"/>
          <w:szCs w:val="20"/>
        </w:rPr>
        <w:t xml:space="preserve"> </w:t>
      </w:r>
      <w:r>
        <w:rPr>
          <w:sz w:val="22"/>
          <w:szCs w:val="22"/>
        </w:rPr>
        <w:t xml:space="preserve">significa, en relación con una fecha determinada: (i) con respecto a la Cesión de efectivo, el siguiente Día Hábil y (ii) con respecto a la Cesión de valores, el primer Día Hábil posterior a dicha fecha en la que se produciría, de acuerdo con la práctica de mercado, la liquidación de una operación acordada en la fecha determinada, sobre dichos valores, en el sistema de liquidación acordado por las Partes o, en caso de que no se haya acordado dicho sistema, en el principal mercado de negociación de dichos valores (o, en caso de que no hubiera práctica de mercado al respecto, el primer Día Hábil posterior a la fecha en la que sería razonablemente posible la entrega de dichos valores). </w:t>
      </w:r>
    </w:p>
    <w:p w14:paraId="4AE8AEDE" w14:textId="77777777" w:rsidR="00397C18" w:rsidRDefault="00397C18" w:rsidP="00183DF3">
      <w:pPr>
        <w:pStyle w:val="CM24"/>
        <w:spacing w:line="258" w:lineRule="atLeast"/>
        <w:ind w:left="709"/>
        <w:jc w:val="both"/>
        <w:rPr>
          <w:sz w:val="22"/>
          <w:szCs w:val="22"/>
        </w:rPr>
      </w:pPr>
      <w:r w:rsidRPr="00030DD2">
        <w:rPr>
          <w:b/>
          <w:i/>
          <w:iCs/>
          <w:sz w:val="22"/>
          <w:szCs w:val="22"/>
        </w:rPr>
        <w:t>"</w:t>
      </w:r>
      <w:r w:rsidR="007D2874" w:rsidRPr="00030DD2">
        <w:rPr>
          <w:b/>
          <w:i/>
          <w:iCs/>
          <w:sz w:val="22"/>
          <w:szCs w:val="22"/>
        </w:rPr>
        <w:t>Fecha</w:t>
      </w:r>
      <w:r w:rsidRPr="00030DD2">
        <w:rPr>
          <w:b/>
          <w:i/>
          <w:iCs/>
          <w:sz w:val="22"/>
          <w:szCs w:val="22"/>
        </w:rPr>
        <w:t xml:space="preserve"> de Recálculo"</w:t>
      </w:r>
      <w:r>
        <w:rPr>
          <w:i/>
          <w:iCs/>
          <w:sz w:val="20"/>
          <w:szCs w:val="20"/>
        </w:rPr>
        <w:t xml:space="preserve"> </w:t>
      </w:r>
      <w:r>
        <w:rPr>
          <w:sz w:val="22"/>
          <w:szCs w:val="22"/>
        </w:rPr>
        <w:t xml:space="preserve">significa la Fecha de Valoración en la que tiene lugar una controversia de acuerdo con lo establecido en la Estipulación Quinta de este Anexo III. En el caso de que se alcance otra Fecha de Valoración antes de la resolución de la controversia, ésta última será considerada la "Fecha de Recálculo". </w:t>
      </w:r>
    </w:p>
    <w:p w14:paraId="5B8965CB" w14:textId="77777777" w:rsidR="00397C18" w:rsidRDefault="00397C18" w:rsidP="00183DF3">
      <w:pPr>
        <w:pStyle w:val="CM24"/>
        <w:spacing w:line="258" w:lineRule="atLeast"/>
        <w:ind w:left="709"/>
        <w:jc w:val="both"/>
        <w:rPr>
          <w:sz w:val="22"/>
          <w:szCs w:val="22"/>
        </w:rPr>
      </w:pPr>
      <w:r w:rsidRPr="00030DD2">
        <w:rPr>
          <w:b/>
          <w:i/>
          <w:iCs/>
          <w:sz w:val="22"/>
          <w:szCs w:val="22"/>
        </w:rPr>
        <w:t xml:space="preserve">"Fechas de </w:t>
      </w:r>
      <w:r w:rsidR="007D2874" w:rsidRPr="00030DD2">
        <w:rPr>
          <w:b/>
          <w:i/>
          <w:iCs/>
          <w:sz w:val="22"/>
          <w:szCs w:val="22"/>
        </w:rPr>
        <w:t>rendimiento</w:t>
      </w:r>
      <w:r w:rsidRPr="00030DD2">
        <w:rPr>
          <w:b/>
          <w:i/>
          <w:iCs/>
          <w:sz w:val="22"/>
          <w:szCs w:val="22"/>
        </w:rPr>
        <w:t>"</w:t>
      </w:r>
      <w:r>
        <w:rPr>
          <w:i/>
          <w:iCs/>
          <w:sz w:val="26"/>
          <w:szCs w:val="26"/>
        </w:rPr>
        <w:t xml:space="preserve"> </w:t>
      </w:r>
      <w:r>
        <w:rPr>
          <w:sz w:val="22"/>
          <w:szCs w:val="22"/>
        </w:rPr>
        <w:t xml:space="preserve">significa, en relación con valores que formen parte del Balance en Garantía, cada fecha en la que el tenedor de dichos valores recibe un Rendimiento. </w:t>
      </w:r>
    </w:p>
    <w:p w14:paraId="41131335" w14:textId="77777777" w:rsidR="00397C18" w:rsidRDefault="00397C18" w:rsidP="00183DF3">
      <w:pPr>
        <w:pStyle w:val="CM24"/>
        <w:spacing w:line="263" w:lineRule="atLeast"/>
        <w:ind w:left="709" w:firstLine="80"/>
        <w:jc w:val="both"/>
        <w:rPr>
          <w:sz w:val="22"/>
          <w:szCs w:val="22"/>
        </w:rPr>
      </w:pPr>
      <w:r>
        <w:rPr>
          <w:b/>
          <w:bCs/>
          <w:i/>
          <w:iCs/>
          <w:sz w:val="22"/>
          <w:szCs w:val="22"/>
        </w:rPr>
        <w:t xml:space="preserve">"Fecha de Valoración" </w:t>
      </w:r>
      <w:r>
        <w:rPr>
          <w:sz w:val="22"/>
          <w:szCs w:val="22"/>
        </w:rPr>
        <w:t xml:space="preserve">significa los Días Hábiles </w:t>
      </w:r>
      <w:r w:rsidR="007D2874">
        <w:rPr>
          <w:sz w:val="22"/>
          <w:szCs w:val="22"/>
        </w:rPr>
        <w:t>señalados</w:t>
      </w:r>
      <w:r>
        <w:rPr>
          <w:sz w:val="22"/>
          <w:szCs w:val="22"/>
        </w:rPr>
        <w:t xml:space="preserve"> en la Estipulación Adicional. </w:t>
      </w:r>
    </w:p>
    <w:p w14:paraId="13D4B8C4" w14:textId="77777777" w:rsidR="00397C18" w:rsidRDefault="00397C18" w:rsidP="00183DF3">
      <w:pPr>
        <w:pStyle w:val="CM24"/>
        <w:spacing w:line="263" w:lineRule="atLeast"/>
        <w:ind w:left="709"/>
        <w:jc w:val="both"/>
        <w:rPr>
          <w:sz w:val="22"/>
          <w:szCs w:val="22"/>
        </w:rPr>
      </w:pPr>
      <w:r>
        <w:rPr>
          <w:b/>
          <w:bCs/>
          <w:i/>
          <w:iCs/>
          <w:sz w:val="22"/>
          <w:szCs w:val="22"/>
        </w:rPr>
        <w:t xml:space="preserve">"Hora de Notificación" </w:t>
      </w:r>
      <w:r w:rsidR="00EB770D">
        <w:rPr>
          <w:sz w:val="22"/>
          <w:szCs w:val="22"/>
        </w:rPr>
        <w:t>tiene el</w:t>
      </w:r>
      <w:r>
        <w:rPr>
          <w:sz w:val="22"/>
          <w:szCs w:val="22"/>
        </w:rPr>
        <w:t xml:space="preserve"> significado dado en la Estipulación Adicional. </w:t>
      </w:r>
    </w:p>
    <w:p w14:paraId="62C0E8E1" w14:textId="77777777" w:rsidR="00397C18" w:rsidRDefault="00397C18" w:rsidP="00183DF3">
      <w:pPr>
        <w:pStyle w:val="CM24"/>
        <w:ind w:left="709"/>
        <w:jc w:val="both"/>
        <w:rPr>
          <w:sz w:val="22"/>
          <w:szCs w:val="22"/>
        </w:rPr>
      </w:pPr>
      <w:r w:rsidRPr="00030DD2">
        <w:rPr>
          <w:b/>
          <w:bCs/>
          <w:i/>
          <w:iCs/>
          <w:sz w:val="22"/>
          <w:szCs w:val="22"/>
        </w:rPr>
        <w:t xml:space="preserve">"Hora </w:t>
      </w:r>
      <w:r w:rsidRPr="00030DD2">
        <w:rPr>
          <w:b/>
          <w:i/>
          <w:iCs/>
          <w:sz w:val="22"/>
          <w:szCs w:val="22"/>
        </w:rPr>
        <w:t>de Resolución</w:t>
      </w:r>
      <w:r>
        <w:rPr>
          <w:i/>
          <w:iCs/>
          <w:sz w:val="20"/>
          <w:szCs w:val="20"/>
        </w:rPr>
        <w:t xml:space="preserve">" </w:t>
      </w:r>
      <w:r w:rsidR="00EB770D">
        <w:rPr>
          <w:sz w:val="22"/>
          <w:szCs w:val="22"/>
        </w:rPr>
        <w:t>tiene el</w:t>
      </w:r>
      <w:r>
        <w:rPr>
          <w:sz w:val="22"/>
          <w:szCs w:val="22"/>
        </w:rPr>
        <w:t xml:space="preserve"> significado dado en la Estipulación Adicional. </w:t>
      </w:r>
    </w:p>
    <w:p w14:paraId="1DB2E9FD" w14:textId="77777777" w:rsidR="00397C18" w:rsidRDefault="00397C18" w:rsidP="00183DF3">
      <w:pPr>
        <w:pStyle w:val="CM24"/>
        <w:ind w:left="709"/>
        <w:jc w:val="both"/>
        <w:rPr>
          <w:sz w:val="22"/>
          <w:szCs w:val="22"/>
        </w:rPr>
      </w:pPr>
      <w:r w:rsidRPr="00030DD2">
        <w:rPr>
          <w:b/>
          <w:i/>
          <w:iCs/>
          <w:sz w:val="22"/>
          <w:szCs w:val="22"/>
        </w:rPr>
        <w:t xml:space="preserve">"Hora de </w:t>
      </w:r>
      <w:r w:rsidR="007D2874" w:rsidRPr="00030DD2">
        <w:rPr>
          <w:b/>
          <w:i/>
          <w:iCs/>
          <w:sz w:val="22"/>
          <w:szCs w:val="22"/>
        </w:rPr>
        <w:t>Valoración</w:t>
      </w:r>
      <w:r w:rsidR="00030DD2">
        <w:rPr>
          <w:b/>
          <w:bCs/>
          <w:i/>
          <w:iCs/>
          <w:sz w:val="22"/>
          <w:szCs w:val="22"/>
        </w:rPr>
        <w:t>"</w:t>
      </w:r>
      <w:r w:rsidRPr="00030DD2">
        <w:rPr>
          <w:sz w:val="22"/>
          <w:szCs w:val="22"/>
        </w:rPr>
        <w:t xml:space="preserve"> </w:t>
      </w:r>
      <w:r w:rsidR="00EB770D">
        <w:rPr>
          <w:sz w:val="22"/>
          <w:szCs w:val="22"/>
        </w:rPr>
        <w:t>tiene el</w:t>
      </w:r>
      <w:r>
        <w:rPr>
          <w:sz w:val="22"/>
          <w:szCs w:val="22"/>
        </w:rPr>
        <w:t xml:space="preserve"> significado </w:t>
      </w:r>
      <w:r w:rsidR="007D2874">
        <w:rPr>
          <w:sz w:val="22"/>
          <w:szCs w:val="22"/>
        </w:rPr>
        <w:t>especificado</w:t>
      </w:r>
      <w:r>
        <w:rPr>
          <w:sz w:val="22"/>
          <w:szCs w:val="22"/>
        </w:rPr>
        <w:t xml:space="preserve"> en la Estipulación Adicional. </w:t>
      </w:r>
    </w:p>
    <w:p w14:paraId="73C7581D" w14:textId="77777777" w:rsidR="00397C18" w:rsidRDefault="00397C18" w:rsidP="00183DF3">
      <w:pPr>
        <w:pStyle w:val="CM24"/>
        <w:spacing w:line="263" w:lineRule="atLeast"/>
        <w:ind w:left="709"/>
        <w:jc w:val="both"/>
        <w:rPr>
          <w:sz w:val="22"/>
          <w:szCs w:val="22"/>
        </w:rPr>
      </w:pPr>
      <w:r w:rsidRPr="00030DD2">
        <w:rPr>
          <w:b/>
          <w:i/>
          <w:iCs/>
          <w:sz w:val="22"/>
          <w:szCs w:val="22"/>
        </w:rPr>
        <w:t xml:space="preserve">"Importe </w:t>
      </w:r>
      <w:r w:rsidR="007D2874" w:rsidRPr="00030DD2">
        <w:rPr>
          <w:b/>
          <w:i/>
          <w:iCs/>
          <w:sz w:val="22"/>
          <w:szCs w:val="22"/>
        </w:rPr>
        <w:t>Máximo"</w:t>
      </w:r>
      <w:r w:rsidR="007D2874">
        <w:rPr>
          <w:iCs/>
          <w:sz w:val="22"/>
          <w:szCs w:val="22"/>
        </w:rPr>
        <w:t xml:space="preserve"> tiene</w:t>
      </w:r>
      <w:r>
        <w:rPr>
          <w:i/>
          <w:iCs/>
          <w:sz w:val="22"/>
          <w:szCs w:val="22"/>
        </w:rPr>
        <w:t xml:space="preserve"> </w:t>
      </w:r>
      <w:r>
        <w:rPr>
          <w:sz w:val="22"/>
          <w:szCs w:val="22"/>
        </w:rPr>
        <w:t xml:space="preserve">el significado que se indica en la Estipulación Adicional. </w:t>
      </w:r>
    </w:p>
    <w:p w14:paraId="418C3C22" w14:textId="77777777" w:rsidR="00397C18" w:rsidRDefault="00397C18" w:rsidP="00183DF3">
      <w:pPr>
        <w:pStyle w:val="CM24"/>
        <w:spacing w:line="258" w:lineRule="atLeast"/>
        <w:ind w:left="709"/>
        <w:jc w:val="both"/>
        <w:rPr>
          <w:sz w:val="22"/>
          <w:szCs w:val="22"/>
        </w:rPr>
      </w:pPr>
      <w:r w:rsidRPr="00030DD2">
        <w:rPr>
          <w:b/>
          <w:i/>
          <w:iCs/>
          <w:sz w:val="22"/>
          <w:szCs w:val="22"/>
        </w:rPr>
        <w:t>"Intereses"</w:t>
      </w:r>
      <w:r>
        <w:rPr>
          <w:i/>
          <w:iCs/>
          <w:sz w:val="20"/>
          <w:szCs w:val="20"/>
        </w:rPr>
        <w:t xml:space="preserve"> </w:t>
      </w:r>
      <w:r>
        <w:rPr>
          <w:sz w:val="22"/>
          <w:szCs w:val="22"/>
        </w:rPr>
        <w:t xml:space="preserve">significa, en relación con un Periodo de Interés, el Contravalor en Euros de los intereses devengados por el importe de efectivo, en Euros o Divisas, que forme parte del Balance en Garantía. El Agente de Valoración determinará el importe de intereses devengado por el Euro y, en su caso, cada Divisa, de acuerdo con la siguiente fórmula: </w:t>
      </w:r>
    </w:p>
    <w:p w14:paraId="3BEBB7E6" w14:textId="77777777" w:rsidR="00397C18" w:rsidRDefault="00397C18" w:rsidP="00183DF3">
      <w:pPr>
        <w:pStyle w:val="CM13"/>
        <w:ind w:left="709"/>
        <w:jc w:val="both"/>
        <w:rPr>
          <w:sz w:val="22"/>
          <w:szCs w:val="22"/>
        </w:rPr>
      </w:pPr>
      <w:r>
        <w:rPr>
          <w:sz w:val="22"/>
          <w:szCs w:val="22"/>
        </w:rPr>
        <w:t>(x)</w:t>
      </w:r>
      <w:r>
        <w:rPr>
          <w:sz w:val="22"/>
          <w:szCs w:val="22"/>
        </w:rPr>
        <w:tab/>
        <w:t xml:space="preserve">la cantidad de efectivo en cada moneda en ese día; multiplicado por </w:t>
      </w:r>
    </w:p>
    <w:p w14:paraId="5CFABA56" w14:textId="77777777" w:rsidR="00397C18" w:rsidRDefault="00030DD2" w:rsidP="00183DF3">
      <w:pPr>
        <w:pStyle w:val="CM13"/>
        <w:ind w:left="709"/>
        <w:jc w:val="both"/>
        <w:rPr>
          <w:sz w:val="22"/>
          <w:szCs w:val="22"/>
        </w:rPr>
      </w:pPr>
      <w:r>
        <w:rPr>
          <w:position w:val="-4"/>
          <w:sz w:val="22"/>
          <w:szCs w:val="22"/>
        </w:rPr>
        <w:t>(y)</w:t>
      </w:r>
      <w:r w:rsidR="00397C18">
        <w:rPr>
          <w:position w:val="-4"/>
          <w:sz w:val="22"/>
          <w:szCs w:val="22"/>
          <w:vertAlign w:val="subscript"/>
        </w:rPr>
        <w:tab/>
      </w:r>
      <w:r w:rsidR="00397C18">
        <w:rPr>
          <w:sz w:val="22"/>
          <w:szCs w:val="22"/>
        </w:rPr>
        <w:t xml:space="preserve">el Tipo de Interés aplicable a la moneda de que se trate en ese día; dividido por </w:t>
      </w:r>
    </w:p>
    <w:p w14:paraId="19CB4F89" w14:textId="77777777" w:rsidR="00397C18" w:rsidRDefault="00397C18" w:rsidP="00183DF3">
      <w:pPr>
        <w:pStyle w:val="CM24"/>
        <w:spacing w:line="258" w:lineRule="atLeast"/>
        <w:ind w:left="709"/>
        <w:jc w:val="both"/>
        <w:rPr>
          <w:sz w:val="22"/>
          <w:szCs w:val="22"/>
        </w:rPr>
      </w:pPr>
      <w:r>
        <w:rPr>
          <w:sz w:val="22"/>
          <w:szCs w:val="22"/>
        </w:rPr>
        <w:lastRenderedPageBreak/>
        <w:t>(z)</w:t>
      </w:r>
      <w:r>
        <w:rPr>
          <w:sz w:val="22"/>
          <w:szCs w:val="22"/>
        </w:rPr>
        <w:tab/>
        <w:t xml:space="preserve">360 (o, para el caso de libras esterlinas, 365). </w:t>
      </w:r>
    </w:p>
    <w:p w14:paraId="27B6E987" w14:textId="77777777" w:rsidR="00397C18" w:rsidRDefault="00397C18" w:rsidP="00183DF3">
      <w:pPr>
        <w:pStyle w:val="CM24"/>
        <w:ind w:left="709"/>
        <w:jc w:val="both"/>
        <w:rPr>
          <w:sz w:val="22"/>
          <w:szCs w:val="22"/>
        </w:rPr>
      </w:pPr>
      <w:r w:rsidRPr="00030DD2">
        <w:rPr>
          <w:b/>
          <w:i/>
          <w:iCs/>
          <w:sz w:val="22"/>
          <w:szCs w:val="22"/>
        </w:rPr>
        <w:t>"Nuevo Colateral"</w:t>
      </w:r>
      <w:r>
        <w:rPr>
          <w:i/>
          <w:iCs/>
          <w:sz w:val="20"/>
          <w:szCs w:val="20"/>
        </w:rPr>
        <w:t xml:space="preserve"> </w:t>
      </w:r>
      <w:r>
        <w:rPr>
          <w:sz w:val="22"/>
          <w:szCs w:val="22"/>
        </w:rPr>
        <w:t xml:space="preserve">tiene el significado dado en la Estipulación Adicional. </w:t>
      </w:r>
    </w:p>
    <w:p w14:paraId="2F29A0B5" w14:textId="77777777" w:rsidR="00397C18" w:rsidRDefault="00397C18" w:rsidP="00030DD2">
      <w:pPr>
        <w:pStyle w:val="CM26"/>
        <w:spacing w:after="0"/>
        <w:ind w:left="709"/>
        <w:jc w:val="both"/>
        <w:rPr>
          <w:sz w:val="22"/>
          <w:szCs w:val="22"/>
        </w:rPr>
      </w:pPr>
      <w:r>
        <w:rPr>
          <w:b/>
          <w:bCs/>
          <w:i/>
          <w:iCs/>
          <w:sz w:val="22"/>
          <w:szCs w:val="22"/>
        </w:rPr>
        <w:t xml:space="preserve">"Parte Discrepante" </w:t>
      </w:r>
      <w:r>
        <w:rPr>
          <w:sz w:val="22"/>
          <w:szCs w:val="22"/>
        </w:rPr>
        <w:t xml:space="preserve">tiene el significado dado en la Estipulación Quinta de este Anexo </w:t>
      </w:r>
      <w:r w:rsidR="00030DD2">
        <w:rPr>
          <w:sz w:val="22"/>
          <w:szCs w:val="22"/>
        </w:rPr>
        <w:t>III.</w:t>
      </w:r>
    </w:p>
    <w:p w14:paraId="6B071039" w14:textId="77777777" w:rsidR="00030DD2" w:rsidRPr="00030DD2" w:rsidRDefault="00030DD2" w:rsidP="00030DD2">
      <w:pPr>
        <w:pStyle w:val="Default"/>
      </w:pPr>
    </w:p>
    <w:p w14:paraId="09065E0F" w14:textId="77777777" w:rsidR="00397C18" w:rsidRDefault="00397C18" w:rsidP="00030DD2">
      <w:pPr>
        <w:pStyle w:val="CM24"/>
        <w:spacing w:after="0"/>
        <w:ind w:left="709"/>
        <w:jc w:val="both"/>
        <w:rPr>
          <w:sz w:val="22"/>
          <w:szCs w:val="22"/>
        </w:rPr>
      </w:pPr>
      <w:r w:rsidRPr="00030DD2">
        <w:rPr>
          <w:b/>
          <w:i/>
          <w:iCs/>
          <w:sz w:val="22"/>
          <w:szCs w:val="22"/>
        </w:rPr>
        <w:t xml:space="preserve">"Periodo </w:t>
      </w:r>
      <w:r w:rsidRPr="00030DD2">
        <w:rPr>
          <w:b/>
          <w:i/>
          <w:iCs/>
          <w:sz w:val="20"/>
          <w:szCs w:val="20"/>
        </w:rPr>
        <w:t xml:space="preserve">de </w:t>
      </w:r>
      <w:r w:rsidR="007D2874" w:rsidRPr="00030DD2">
        <w:rPr>
          <w:b/>
          <w:bCs/>
          <w:i/>
          <w:iCs/>
          <w:sz w:val="22"/>
          <w:szCs w:val="22"/>
        </w:rPr>
        <w:t>interés</w:t>
      </w:r>
      <w:r w:rsidRPr="00030DD2">
        <w:rPr>
          <w:b/>
          <w:bCs/>
          <w:i/>
          <w:iCs/>
          <w:sz w:val="22"/>
          <w:szCs w:val="22"/>
        </w:rPr>
        <w:t>"</w:t>
      </w:r>
      <w:r>
        <w:rPr>
          <w:b/>
          <w:bCs/>
          <w:i/>
          <w:iCs/>
          <w:sz w:val="22"/>
          <w:szCs w:val="22"/>
        </w:rPr>
        <w:t xml:space="preserve"> </w:t>
      </w:r>
      <w:r>
        <w:rPr>
          <w:sz w:val="22"/>
          <w:szCs w:val="22"/>
        </w:rPr>
        <w:t xml:space="preserve">significa el periodo comprendido desde el Día Hábil en el que los Intereses son recibidos por el Cesionario (inclusive) hasta el Día Hábil en el que dichos Intereses son abonados al Cedente (excluido). </w:t>
      </w:r>
    </w:p>
    <w:p w14:paraId="545328F5" w14:textId="77777777" w:rsidR="00030DD2" w:rsidRPr="00030DD2" w:rsidRDefault="00030DD2" w:rsidP="00030DD2">
      <w:pPr>
        <w:pStyle w:val="Default"/>
      </w:pPr>
    </w:p>
    <w:p w14:paraId="15573219" w14:textId="77777777" w:rsidR="00397C18" w:rsidRDefault="00397C18" w:rsidP="00183DF3">
      <w:pPr>
        <w:pStyle w:val="CM24"/>
        <w:spacing w:line="251" w:lineRule="atLeast"/>
        <w:ind w:left="709" w:right="75"/>
        <w:jc w:val="both"/>
        <w:rPr>
          <w:sz w:val="22"/>
          <w:szCs w:val="22"/>
        </w:rPr>
      </w:pPr>
      <w:r>
        <w:rPr>
          <w:b/>
          <w:bCs/>
          <w:i/>
          <w:iCs/>
          <w:sz w:val="22"/>
          <w:szCs w:val="22"/>
        </w:rPr>
        <w:t xml:space="preserve">"Porcentaje de </w:t>
      </w:r>
      <w:r w:rsidR="007D2874">
        <w:rPr>
          <w:b/>
          <w:bCs/>
          <w:i/>
          <w:iCs/>
          <w:sz w:val="22"/>
          <w:szCs w:val="22"/>
        </w:rPr>
        <w:t>Valoración</w:t>
      </w:r>
      <w:r>
        <w:rPr>
          <w:b/>
          <w:bCs/>
          <w:i/>
          <w:iCs/>
          <w:sz w:val="22"/>
          <w:szCs w:val="22"/>
        </w:rPr>
        <w:t xml:space="preserve">" </w:t>
      </w:r>
      <w:r>
        <w:rPr>
          <w:sz w:val="22"/>
          <w:szCs w:val="22"/>
        </w:rPr>
        <w:t xml:space="preserve">significa, para cada tipología de Colateral, el porcentaje especificado en la Estipulación Adicional. </w:t>
      </w:r>
    </w:p>
    <w:p w14:paraId="4D299C8F" w14:textId="77777777" w:rsidR="00397C18" w:rsidRDefault="00397C18" w:rsidP="00473E77">
      <w:pPr>
        <w:pStyle w:val="CM15"/>
        <w:ind w:left="709" w:right="75"/>
        <w:jc w:val="both"/>
        <w:rPr>
          <w:sz w:val="22"/>
          <w:szCs w:val="22"/>
        </w:rPr>
      </w:pPr>
      <w:r w:rsidRPr="00030DD2">
        <w:rPr>
          <w:b/>
          <w:i/>
          <w:iCs/>
          <w:sz w:val="20"/>
          <w:szCs w:val="20"/>
        </w:rPr>
        <w:t>"</w:t>
      </w:r>
      <w:r w:rsidR="007D2874" w:rsidRPr="00030DD2">
        <w:rPr>
          <w:b/>
          <w:i/>
          <w:iCs/>
          <w:sz w:val="20"/>
          <w:szCs w:val="20"/>
        </w:rPr>
        <w:t>Rendimiento</w:t>
      </w:r>
      <w:r w:rsidRPr="00030DD2">
        <w:rPr>
          <w:i/>
          <w:iCs/>
          <w:sz w:val="20"/>
          <w:szCs w:val="20"/>
        </w:rPr>
        <w:t xml:space="preserve">" </w:t>
      </w:r>
      <w:r w:rsidRPr="00030DD2">
        <w:rPr>
          <w:sz w:val="22"/>
          <w:szCs w:val="22"/>
        </w:rPr>
        <w:t>significa</w:t>
      </w:r>
      <w:r>
        <w:rPr>
          <w:sz w:val="22"/>
          <w:szCs w:val="22"/>
        </w:rPr>
        <w:t xml:space="preserve">, en relación con valores que formen parte del Balance en Garantía, los frutos que generen los mismos, ya sea en forma de efectivo, tanto en concepto de principal, intereses o cualquier otro, o en forma de entrega de otros valores, activos o derechos. </w:t>
      </w:r>
    </w:p>
    <w:p w14:paraId="5067EB9F" w14:textId="77777777" w:rsidR="00473E77" w:rsidRPr="00473E77" w:rsidRDefault="00473E77" w:rsidP="00473E77">
      <w:pPr>
        <w:pStyle w:val="Default"/>
      </w:pPr>
    </w:p>
    <w:p w14:paraId="3DC70C27" w14:textId="77777777" w:rsidR="00397C18" w:rsidRDefault="00030DD2" w:rsidP="00030DD2">
      <w:pPr>
        <w:pStyle w:val="CM24"/>
        <w:spacing w:line="260" w:lineRule="atLeast"/>
        <w:ind w:left="748" w:hanging="39"/>
        <w:jc w:val="both"/>
        <w:rPr>
          <w:sz w:val="22"/>
          <w:szCs w:val="22"/>
        </w:rPr>
      </w:pPr>
      <w:r w:rsidRPr="00030DD2">
        <w:rPr>
          <w:b/>
          <w:i/>
          <w:iCs/>
          <w:sz w:val="20"/>
          <w:szCs w:val="20"/>
        </w:rPr>
        <w:t>"</w:t>
      </w:r>
      <w:r w:rsidR="007D2874" w:rsidRPr="00030DD2">
        <w:rPr>
          <w:b/>
          <w:i/>
          <w:iCs/>
          <w:sz w:val="22"/>
          <w:szCs w:val="22"/>
        </w:rPr>
        <w:t>Rendimiento Fungible":</w:t>
      </w:r>
      <w:r w:rsidR="007D2874">
        <w:rPr>
          <w:i/>
          <w:iCs/>
          <w:sz w:val="22"/>
          <w:szCs w:val="22"/>
        </w:rPr>
        <w:t xml:space="preserve"> </w:t>
      </w:r>
      <w:r w:rsidR="007D2874">
        <w:rPr>
          <w:sz w:val="22"/>
          <w:szCs w:val="22"/>
        </w:rPr>
        <w:t xml:space="preserve">en relación con los Rendimientos producidos por el Balance en Garantía, activos fungibles con dichos Rendimientos. </w:t>
      </w:r>
    </w:p>
    <w:p w14:paraId="182A0265" w14:textId="77777777" w:rsidR="00397C18" w:rsidRDefault="00030DD2" w:rsidP="00030DD2">
      <w:pPr>
        <w:pStyle w:val="CM24"/>
        <w:spacing w:line="256" w:lineRule="atLeast"/>
        <w:ind w:left="738" w:hanging="29"/>
        <w:jc w:val="both"/>
        <w:rPr>
          <w:sz w:val="22"/>
          <w:szCs w:val="22"/>
        </w:rPr>
      </w:pPr>
      <w:r w:rsidRPr="00030DD2">
        <w:rPr>
          <w:b/>
          <w:i/>
          <w:iCs/>
          <w:sz w:val="20"/>
          <w:szCs w:val="20"/>
        </w:rPr>
        <w:t>"</w:t>
      </w:r>
      <w:r w:rsidR="007D2874" w:rsidRPr="00030DD2">
        <w:rPr>
          <w:b/>
          <w:i/>
          <w:iCs/>
          <w:sz w:val="22"/>
          <w:szCs w:val="22"/>
        </w:rPr>
        <w:t>Riesgo Neto"</w:t>
      </w:r>
      <w:r w:rsidR="007D2874">
        <w:rPr>
          <w:i/>
          <w:iCs/>
          <w:sz w:val="22"/>
          <w:szCs w:val="22"/>
        </w:rPr>
        <w:t xml:space="preserve"> </w:t>
      </w:r>
      <w:r w:rsidR="007D2874">
        <w:rPr>
          <w:sz w:val="22"/>
          <w:szCs w:val="22"/>
        </w:rPr>
        <w:t>significa, en relación con una de las Partes, en una Fecha de Valoración, la Cantidad a Pagar, en su caso, por la otra Parte (expresada con signo positivo) o a la otra Parte (expresada con signo negativo) de acuerdo con la Estipulación Dec</w:t>
      </w:r>
      <w:r w:rsidR="00473E77">
        <w:rPr>
          <w:sz w:val="22"/>
          <w:szCs w:val="22"/>
        </w:rPr>
        <w:t>imocuarta, Apartado 14.2 del CMO</w:t>
      </w:r>
      <w:r w:rsidR="007D2874">
        <w:rPr>
          <w:sz w:val="22"/>
          <w:szCs w:val="22"/>
        </w:rPr>
        <w:t xml:space="preserve">F, si todas las Operaciones (a excepción de las realizadas al amparo de este Anexo III) fueran canceladas anticipadamente en una Hora de Valoración determinada, partiendo de las siguientes premisas: (i) que esa Parte no es la Parte Afectada y (ii) que el Euro es la Moneda de Liquidación; y (iii) que el Valor de Mercado se calculará por el Agente de Valoración, en nombre de esa Parte, utilizando sus propias estimaciones en lugar de las valoraciones proporcionadas por las Entidades de Referencia. </w:t>
      </w:r>
    </w:p>
    <w:p w14:paraId="1EAAA872" w14:textId="77777777" w:rsidR="00397C18" w:rsidRDefault="00397C18" w:rsidP="00183DF3">
      <w:pPr>
        <w:pStyle w:val="CM24"/>
        <w:spacing w:line="256" w:lineRule="atLeast"/>
        <w:ind w:left="713"/>
        <w:jc w:val="both"/>
        <w:rPr>
          <w:sz w:val="22"/>
          <w:szCs w:val="22"/>
        </w:rPr>
      </w:pPr>
      <w:r w:rsidRPr="00030DD2">
        <w:rPr>
          <w:b/>
          <w:i/>
          <w:iCs/>
          <w:sz w:val="22"/>
          <w:szCs w:val="22"/>
        </w:rPr>
        <w:t>"Tipo de Interés"</w:t>
      </w:r>
      <w:r>
        <w:rPr>
          <w:i/>
          <w:iCs/>
          <w:sz w:val="22"/>
          <w:szCs w:val="22"/>
        </w:rPr>
        <w:t xml:space="preserve"> </w:t>
      </w:r>
      <w:r>
        <w:rPr>
          <w:sz w:val="22"/>
          <w:szCs w:val="22"/>
        </w:rPr>
        <w:t xml:space="preserve">significa, en relación con el Euro, o con una Divisa Admitida, el tipo de interés determinado en la Estipulación Adicional para esa moneda. </w:t>
      </w:r>
    </w:p>
    <w:p w14:paraId="140CE965" w14:textId="77777777" w:rsidR="00397C18" w:rsidRDefault="00397C18" w:rsidP="00030DD2">
      <w:pPr>
        <w:pStyle w:val="CM28"/>
        <w:spacing w:line="256" w:lineRule="atLeast"/>
        <w:ind w:left="713"/>
        <w:jc w:val="both"/>
        <w:rPr>
          <w:sz w:val="22"/>
          <w:szCs w:val="22"/>
        </w:rPr>
      </w:pPr>
      <w:r w:rsidRPr="00030DD2">
        <w:rPr>
          <w:b/>
          <w:i/>
          <w:iCs/>
          <w:sz w:val="22"/>
          <w:szCs w:val="22"/>
        </w:rPr>
        <w:t>"Valor"</w:t>
      </w:r>
      <w:r>
        <w:rPr>
          <w:i/>
          <w:iCs/>
          <w:sz w:val="22"/>
          <w:szCs w:val="22"/>
        </w:rPr>
        <w:t xml:space="preserve"> </w:t>
      </w:r>
      <w:r>
        <w:rPr>
          <w:sz w:val="22"/>
          <w:szCs w:val="22"/>
        </w:rPr>
        <w:t xml:space="preserve">significa, respecto de una Fecha de Valoración u otra fecha de cálculo, en relación con: </w:t>
      </w:r>
    </w:p>
    <w:p w14:paraId="4E628236" w14:textId="77777777" w:rsidR="00397C18" w:rsidRDefault="00030DD2" w:rsidP="00183DF3">
      <w:pPr>
        <w:pStyle w:val="CM24"/>
        <w:spacing w:line="268" w:lineRule="atLeast"/>
        <w:ind w:left="1443" w:hanging="712"/>
        <w:jc w:val="both"/>
        <w:rPr>
          <w:sz w:val="22"/>
          <w:szCs w:val="22"/>
        </w:rPr>
      </w:pPr>
      <w:r>
        <w:rPr>
          <w:sz w:val="22"/>
          <w:szCs w:val="22"/>
        </w:rPr>
        <w:t>(i)</w:t>
      </w:r>
      <w:r>
        <w:rPr>
          <w:sz w:val="22"/>
          <w:szCs w:val="22"/>
        </w:rPr>
        <w:tab/>
      </w:r>
      <w:r w:rsidR="00397C18">
        <w:rPr>
          <w:sz w:val="22"/>
          <w:szCs w:val="22"/>
        </w:rPr>
        <w:t xml:space="preserve">Colateral comprendido en el Balance en Garantía en forma de: </w:t>
      </w:r>
    </w:p>
    <w:p w14:paraId="342A2623" w14:textId="77777777" w:rsidR="00397C18" w:rsidRDefault="00397C18" w:rsidP="00030DD2">
      <w:pPr>
        <w:pStyle w:val="Default"/>
        <w:numPr>
          <w:ilvl w:val="0"/>
          <w:numId w:val="3"/>
        </w:numPr>
        <w:tabs>
          <w:tab w:val="left" w:pos="1418"/>
        </w:tabs>
        <w:ind w:left="2160" w:hanging="2160"/>
        <w:jc w:val="both"/>
        <w:rPr>
          <w:color w:val="auto"/>
          <w:sz w:val="22"/>
          <w:szCs w:val="22"/>
        </w:rPr>
      </w:pPr>
      <w:r>
        <w:rPr>
          <w:color w:val="auto"/>
          <w:sz w:val="22"/>
          <w:szCs w:val="22"/>
        </w:rPr>
        <w:t>(A)</w:t>
      </w:r>
      <w:r>
        <w:rPr>
          <w:color w:val="auto"/>
          <w:sz w:val="22"/>
          <w:szCs w:val="22"/>
        </w:rPr>
        <w:tab/>
        <w:t xml:space="preserve">Efectivo: el Equivalente en Euros de dicha cantidad multiplicado por el Porcentaje de Valoración aplicable, si existiera. </w:t>
      </w:r>
    </w:p>
    <w:p w14:paraId="5005E25B" w14:textId="77777777" w:rsidR="00030DD2" w:rsidRDefault="00030DD2" w:rsidP="00030DD2">
      <w:pPr>
        <w:pStyle w:val="Default"/>
        <w:numPr>
          <w:ilvl w:val="0"/>
          <w:numId w:val="3"/>
        </w:numPr>
        <w:ind w:left="2160" w:hanging="2160"/>
        <w:jc w:val="both"/>
        <w:rPr>
          <w:color w:val="auto"/>
          <w:sz w:val="22"/>
          <w:szCs w:val="22"/>
        </w:rPr>
      </w:pPr>
    </w:p>
    <w:p w14:paraId="0CC9AE81" w14:textId="77777777" w:rsidR="00397C18" w:rsidRDefault="00397C18" w:rsidP="00030DD2">
      <w:pPr>
        <w:pStyle w:val="Default"/>
        <w:numPr>
          <w:ilvl w:val="0"/>
          <w:numId w:val="3"/>
        </w:numPr>
        <w:tabs>
          <w:tab w:val="left" w:pos="1418"/>
        </w:tabs>
        <w:ind w:left="2160" w:hanging="2160"/>
        <w:jc w:val="both"/>
        <w:rPr>
          <w:color w:val="auto"/>
          <w:sz w:val="22"/>
          <w:szCs w:val="22"/>
        </w:rPr>
      </w:pPr>
      <w:r>
        <w:rPr>
          <w:color w:val="auto"/>
          <w:sz w:val="22"/>
          <w:szCs w:val="22"/>
        </w:rPr>
        <w:t>(B)</w:t>
      </w:r>
      <w:r>
        <w:rPr>
          <w:color w:val="auto"/>
          <w:sz w:val="22"/>
          <w:szCs w:val="22"/>
        </w:rPr>
        <w:tab/>
        <w:t xml:space="preserve">Valores: el Valor en Euros del precio de oferta de dichos valores obtenido por el Agente de Valoración multiplicado por el Porcentaje de Valoración aplicable, en su caso. </w:t>
      </w:r>
    </w:p>
    <w:p w14:paraId="30383E7D" w14:textId="77777777" w:rsidR="00397C18" w:rsidRDefault="00397C18" w:rsidP="00183DF3">
      <w:pPr>
        <w:pStyle w:val="Default"/>
        <w:jc w:val="both"/>
        <w:rPr>
          <w:color w:val="auto"/>
          <w:sz w:val="22"/>
          <w:szCs w:val="22"/>
        </w:rPr>
      </w:pPr>
    </w:p>
    <w:p w14:paraId="78C22104" w14:textId="77777777" w:rsidR="00397C18" w:rsidRDefault="00397C18" w:rsidP="00030DD2">
      <w:pPr>
        <w:pStyle w:val="CM26"/>
        <w:spacing w:after="0"/>
        <w:ind w:left="1440" w:right="80" w:hanging="712"/>
        <w:jc w:val="both"/>
        <w:rPr>
          <w:sz w:val="22"/>
          <w:szCs w:val="22"/>
        </w:rPr>
      </w:pPr>
      <w:r>
        <w:rPr>
          <w:sz w:val="22"/>
          <w:szCs w:val="22"/>
        </w:rPr>
        <w:t>(ii)</w:t>
      </w:r>
      <w:r>
        <w:rPr>
          <w:sz w:val="22"/>
          <w:szCs w:val="22"/>
        </w:rPr>
        <w:tab/>
        <w:t xml:space="preserve">Activos o derechos incluidos en el Balance en Garantía y que no son Colateral: cero </w:t>
      </w:r>
    </w:p>
    <w:p w14:paraId="4A798DF7" w14:textId="77777777" w:rsidR="0012575E" w:rsidRDefault="0012575E" w:rsidP="0012575E">
      <w:pPr>
        <w:pStyle w:val="Default"/>
      </w:pPr>
    </w:p>
    <w:p w14:paraId="34480BC8" w14:textId="77777777" w:rsidR="00EB770D" w:rsidRDefault="00EB770D" w:rsidP="0012575E">
      <w:pPr>
        <w:pStyle w:val="Default"/>
      </w:pPr>
    </w:p>
    <w:p w14:paraId="4AF8C355" w14:textId="77777777" w:rsidR="00EB770D" w:rsidRDefault="00EB770D" w:rsidP="0012575E">
      <w:pPr>
        <w:pStyle w:val="Default"/>
      </w:pPr>
    </w:p>
    <w:p w14:paraId="446A7F40" w14:textId="77777777" w:rsidR="00EB770D" w:rsidRPr="0012575E" w:rsidRDefault="00EB770D" w:rsidP="0012575E">
      <w:pPr>
        <w:pStyle w:val="Default"/>
      </w:pPr>
    </w:p>
    <w:p w14:paraId="44A09F41" w14:textId="77777777" w:rsidR="00397C18" w:rsidRPr="0012575E" w:rsidRDefault="00397C18" w:rsidP="00030DD2">
      <w:pPr>
        <w:pStyle w:val="CM24"/>
        <w:spacing w:after="0"/>
        <w:jc w:val="both"/>
        <w:rPr>
          <w:b/>
          <w:sz w:val="22"/>
          <w:szCs w:val="22"/>
          <w:u w:val="single"/>
        </w:rPr>
      </w:pPr>
      <w:r w:rsidRPr="0012575E">
        <w:rPr>
          <w:b/>
          <w:sz w:val="22"/>
          <w:szCs w:val="22"/>
          <w:u w:val="single"/>
        </w:rPr>
        <w:lastRenderedPageBreak/>
        <w:t>SEGUN</w:t>
      </w:r>
      <w:r w:rsidR="00030DD2" w:rsidRPr="0012575E">
        <w:rPr>
          <w:b/>
          <w:sz w:val="22"/>
          <w:szCs w:val="22"/>
          <w:u w:val="single"/>
        </w:rPr>
        <w:t>DA.-</w:t>
      </w:r>
      <w:r w:rsidR="0012575E" w:rsidRPr="0012575E">
        <w:rPr>
          <w:b/>
          <w:sz w:val="22"/>
          <w:szCs w:val="22"/>
          <w:u w:val="single"/>
        </w:rPr>
        <w:t xml:space="preserve"> REALIZACIÓN DE CESI</w:t>
      </w:r>
      <w:r w:rsidRPr="0012575E">
        <w:rPr>
          <w:b/>
          <w:sz w:val="22"/>
          <w:szCs w:val="22"/>
          <w:u w:val="single"/>
        </w:rPr>
        <w:t xml:space="preserve">ONES. </w:t>
      </w:r>
    </w:p>
    <w:p w14:paraId="610A54C2" w14:textId="77777777" w:rsidR="0012575E" w:rsidRDefault="0012575E" w:rsidP="00183DF3">
      <w:pPr>
        <w:pStyle w:val="CM24"/>
        <w:spacing w:line="263" w:lineRule="atLeast"/>
        <w:ind w:left="713" w:hanging="712"/>
        <w:jc w:val="both"/>
        <w:rPr>
          <w:b/>
          <w:sz w:val="22"/>
          <w:szCs w:val="22"/>
        </w:rPr>
      </w:pPr>
    </w:p>
    <w:p w14:paraId="64626FA4" w14:textId="77777777" w:rsidR="00397C18" w:rsidRPr="00030DD2" w:rsidRDefault="00397C18" w:rsidP="00183DF3">
      <w:pPr>
        <w:pStyle w:val="CM24"/>
        <w:spacing w:line="263" w:lineRule="atLeast"/>
        <w:ind w:left="713" w:hanging="712"/>
        <w:jc w:val="both"/>
        <w:rPr>
          <w:b/>
          <w:sz w:val="22"/>
          <w:szCs w:val="22"/>
        </w:rPr>
      </w:pPr>
      <w:r w:rsidRPr="00030DD2">
        <w:rPr>
          <w:b/>
          <w:sz w:val="22"/>
          <w:szCs w:val="22"/>
        </w:rPr>
        <w:t>2.1.</w:t>
      </w:r>
      <w:r w:rsidRPr="00030DD2">
        <w:rPr>
          <w:b/>
          <w:sz w:val="22"/>
          <w:szCs w:val="22"/>
        </w:rPr>
        <w:tab/>
      </w:r>
      <w:r w:rsidR="007D2874" w:rsidRPr="00030DD2">
        <w:rPr>
          <w:b/>
          <w:sz w:val="22"/>
          <w:szCs w:val="22"/>
        </w:rPr>
        <w:t>Cantidad</w:t>
      </w:r>
      <w:r w:rsidRPr="00030DD2">
        <w:rPr>
          <w:b/>
          <w:sz w:val="22"/>
          <w:szCs w:val="22"/>
        </w:rPr>
        <w:t xml:space="preserve"> a Entregar </w:t>
      </w:r>
      <w:r w:rsidR="007D2874" w:rsidRPr="00030DD2">
        <w:rPr>
          <w:b/>
          <w:sz w:val="22"/>
          <w:szCs w:val="22"/>
        </w:rPr>
        <w:t>de</w:t>
      </w:r>
      <w:r w:rsidRPr="00030DD2">
        <w:rPr>
          <w:b/>
          <w:sz w:val="22"/>
          <w:szCs w:val="22"/>
        </w:rPr>
        <w:t xml:space="preserve"> </w:t>
      </w:r>
      <w:r w:rsidR="007D2874" w:rsidRPr="00030DD2">
        <w:rPr>
          <w:b/>
          <w:sz w:val="22"/>
          <w:szCs w:val="22"/>
        </w:rPr>
        <w:t>Colateral</w:t>
      </w:r>
      <w:r w:rsidRPr="00030DD2">
        <w:rPr>
          <w:b/>
          <w:sz w:val="22"/>
          <w:szCs w:val="22"/>
        </w:rPr>
        <w:t xml:space="preserve">. </w:t>
      </w:r>
    </w:p>
    <w:p w14:paraId="2F61C643" w14:textId="77777777" w:rsidR="00397C18" w:rsidRDefault="00397C18" w:rsidP="00183DF3">
      <w:pPr>
        <w:pStyle w:val="CM26"/>
        <w:spacing w:line="256" w:lineRule="atLeast"/>
        <w:ind w:left="713"/>
        <w:jc w:val="both"/>
        <w:rPr>
          <w:sz w:val="22"/>
          <w:szCs w:val="22"/>
        </w:rPr>
      </w:pPr>
      <w:r>
        <w:rPr>
          <w:sz w:val="22"/>
          <w:szCs w:val="22"/>
        </w:rPr>
        <w:t xml:space="preserve">De acuerdo con lo recogido en el presente Anexo </w:t>
      </w:r>
      <w:r>
        <w:rPr>
          <w:sz w:val="20"/>
          <w:szCs w:val="20"/>
        </w:rPr>
        <w:t xml:space="preserve">III, </w:t>
      </w:r>
      <w:r>
        <w:rPr>
          <w:sz w:val="22"/>
          <w:szCs w:val="22"/>
        </w:rPr>
        <w:t xml:space="preserve">previo requerimiento del Cesionario en, o lo antes posible después de, una Fecha de Valoración, si la Cantidad a Entregar en esa Fecha de Valoración es igual o superior a la Cantidad Mínima Objeto de Cesión correspondiente al Cedente, el Cedente transmitirá al Cesionario Colateral que tenga un Valor en la Fecha de Transmisión al menos igual a la Cantidad a Entregar (redondeada de acuerdo con la Estipulación Adicional). </w:t>
      </w:r>
    </w:p>
    <w:p w14:paraId="54FFD074" w14:textId="77777777" w:rsidR="00397C18" w:rsidRPr="00030DD2" w:rsidRDefault="007D2874" w:rsidP="00183DF3">
      <w:pPr>
        <w:pStyle w:val="CM24"/>
        <w:ind w:left="713" w:hanging="712"/>
        <w:jc w:val="both"/>
        <w:rPr>
          <w:b/>
          <w:sz w:val="22"/>
          <w:szCs w:val="22"/>
        </w:rPr>
      </w:pPr>
      <w:r w:rsidRPr="00030DD2">
        <w:rPr>
          <w:b/>
          <w:sz w:val="20"/>
          <w:szCs w:val="20"/>
        </w:rPr>
        <w:t>2.2.</w:t>
      </w:r>
      <w:r w:rsidRPr="00030DD2">
        <w:rPr>
          <w:b/>
          <w:sz w:val="20"/>
          <w:szCs w:val="20"/>
        </w:rPr>
        <w:tab/>
      </w:r>
      <w:r w:rsidRPr="00030DD2">
        <w:rPr>
          <w:b/>
          <w:sz w:val="22"/>
          <w:szCs w:val="22"/>
        </w:rPr>
        <w:t xml:space="preserve">Cantidad a Devolver de Colateral. </w:t>
      </w:r>
    </w:p>
    <w:p w14:paraId="74ECE35B" w14:textId="77777777" w:rsidR="00397C18" w:rsidRDefault="00397C18" w:rsidP="00473E77">
      <w:pPr>
        <w:pStyle w:val="CM6"/>
        <w:ind w:left="709"/>
        <w:jc w:val="both"/>
        <w:rPr>
          <w:sz w:val="22"/>
          <w:szCs w:val="22"/>
        </w:rPr>
      </w:pPr>
      <w:r>
        <w:rPr>
          <w:sz w:val="22"/>
          <w:szCs w:val="22"/>
        </w:rPr>
        <w:t xml:space="preserve">De acuerdo con lo recogido en el presente Anexo </w:t>
      </w:r>
      <w:r>
        <w:rPr>
          <w:sz w:val="20"/>
          <w:szCs w:val="20"/>
        </w:rPr>
        <w:t xml:space="preserve">III, </w:t>
      </w:r>
      <w:r>
        <w:rPr>
          <w:sz w:val="22"/>
          <w:szCs w:val="22"/>
        </w:rPr>
        <w:t xml:space="preserve">previo requerimiento del Cedente en, o lo antes posible después de, una Fecha de Valoración, si la Cantidad a Devolver para esa Fecha de Valoración es igual o superior a la Cantidad Mínima Objeto de Cesión correspondiente al </w:t>
      </w:r>
      <w:r w:rsidR="007D2874">
        <w:rPr>
          <w:sz w:val="22"/>
          <w:szCs w:val="22"/>
        </w:rPr>
        <w:t>Cesionario,</w:t>
      </w:r>
      <w:r>
        <w:rPr>
          <w:sz w:val="22"/>
          <w:szCs w:val="22"/>
        </w:rPr>
        <w:t xml:space="preserve"> el Cesionario entregará al Cedente el Colateral especificado por el Cedente cuyo Valor, en la Fecha de Transmisión, sea lo más cercano </w:t>
      </w:r>
    </w:p>
    <w:p w14:paraId="3EDB0582" w14:textId="77777777" w:rsidR="00397C18" w:rsidRDefault="00397C18" w:rsidP="00473E77">
      <w:pPr>
        <w:pStyle w:val="CM24"/>
        <w:spacing w:line="253" w:lineRule="atLeast"/>
        <w:ind w:left="709"/>
        <w:jc w:val="both"/>
        <w:rPr>
          <w:sz w:val="22"/>
          <w:szCs w:val="22"/>
        </w:rPr>
      </w:pPr>
      <w:r>
        <w:rPr>
          <w:sz w:val="22"/>
          <w:szCs w:val="22"/>
        </w:rPr>
        <w:t xml:space="preserve">posible a la Cantidad a Devolver (redondeada de acuerdo con la Estipulación Adicional). El Balance en Garantía quedará reducido en la Cantidad a Devolver entregada al Cedente. </w:t>
      </w:r>
    </w:p>
    <w:p w14:paraId="736F11FB" w14:textId="77777777" w:rsidR="00397C18" w:rsidRPr="0012575E" w:rsidRDefault="00397C18" w:rsidP="00183DF3">
      <w:pPr>
        <w:pStyle w:val="CM24"/>
        <w:spacing w:line="253" w:lineRule="atLeast"/>
        <w:ind w:left="773" w:hanging="715"/>
        <w:jc w:val="both"/>
        <w:rPr>
          <w:b/>
          <w:sz w:val="22"/>
          <w:szCs w:val="22"/>
        </w:rPr>
      </w:pPr>
      <w:r w:rsidRPr="0012575E">
        <w:rPr>
          <w:b/>
          <w:sz w:val="22"/>
          <w:szCs w:val="22"/>
        </w:rPr>
        <w:t>2.3.</w:t>
      </w:r>
      <w:r w:rsidRPr="0012575E">
        <w:rPr>
          <w:b/>
          <w:sz w:val="22"/>
          <w:szCs w:val="22"/>
        </w:rPr>
        <w:tab/>
        <w:t xml:space="preserve">Forma de </w:t>
      </w:r>
      <w:r w:rsidR="007D2874" w:rsidRPr="0012575E">
        <w:rPr>
          <w:b/>
          <w:sz w:val="22"/>
          <w:szCs w:val="22"/>
        </w:rPr>
        <w:t>realización</w:t>
      </w:r>
      <w:r w:rsidRPr="0012575E">
        <w:rPr>
          <w:b/>
          <w:sz w:val="22"/>
          <w:szCs w:val="22"/>
        </w:rPr>
        <w:t xml:space="preserve"> de las </w:t>
      </w:r>
      <w:r w:rsidR="007D2874" w:rsidRPr="0012575E">
        <w:rPr>
          <w:b/>
          <w:sz w:val="22"/>
          <w:szCs w:val="22"/>
        </w:rPr>
        <w:t>Cesiones</w:t>
      </w:r>
      <w:r w:rsidRPr="0012575E">
        <w:rPr>
          <w:b/>
          <w:sz w:val="22"/>
          <w:szCs w:val="22"/>
        </w:rPr>
        <w:t xml:space="preserve">. </w:t>
      </w:r>
    </w:p>
    <w:p w14:paraId="0711CE83" w14:textId="77777777" w:rsidR="00397C18" w:rsidRDefault="00397C18" w:rsidP="00183DF3">
      <w:pPr>
        <w:pStyle w:val="CM24"/>
        <w:spacing w:line="253" w:lineRule="atLeast"/>
        <w:ind w:left="770"/>
        <w:jc w:val="both"/>
        <w:rPr>
          <w:sz w:val="22"/>
          <w:szCs w:val="22"/>
        </w:rPr>
      </w:pPr>
      <w:r>
        <w:rPr>
          <w:sz w:val="22"/>
          <w:szCs w:val="22"/>
        </w:rPr>
        <w:t xml:space="preserve">Toda Cesión regulada por este Anexo III, de Colateral, Colateral Equivalente, Intereses o Rendimientos Fungibles se realizará de acuerdo con las instrucciones del Cedente o del Cesionario, según proceda, de acuerdo con las siguientes pautas: </w:t>
      </w:r>
    </w:p>
    <w:p w14:paraId="512C22AC" w14:textId="77777777" w:rsidR="00397C18" w:rsidRDefault="00397C18" w:rsidP="0012575E">
      <w:pPr>
        <w:pStyle w:val="Default"/>
        <w:numPr>
          <w:ilvl w:val="0"/>
          <w:numId w:val="4"/>
        </w:numPr>
        <w:ind w:left="1440" w:hanging="1440"/>
        <w:jc w:val="both"/>
        <w:rPr>
          <w:color w:val="auto"/>
          <w:sz w:val="22"/>
          <w:szCs w:val="22"/>
        </w:rPr>
      </w:pPr>
      <w:r>
        <w:rPr>
          <w:color w:val="auto"/>
          <w:sz w:val="22"/>
          <w:szCs w:val="22"/>
        </w:rPr>
        <w:t>(i)</w:t>
      </w:r>
      <w:r>
        <w:rPr>
          <w:color w:val="auto"/>
          <w:sz w:val="22"/>
          <w:szCs w:val="22"/>
        </w:rPr>
        <w:tab/>
        <w:t>en el caso de efectivo, por transferencia bancaria a la Cuenta de Efectivo de la parte receptora del efectivo o, en su caso, a la/s cuenta/s</w:t>
      </w:r>
      <w:r w:rsidR="0012575E">
        <w:rPr>
          <w:color w:val="auto"/>
          <w:sz w:val="22"/>
          <w:szCs w:val="22"/>
        </w:rPr>
        <w:t xml:space="preserve"> especificadas por el receptor,</w:t>
      </w:r>
    </w:p>
    <w:p w14:paraId="253B0B56" w14:textId="77777777" w:rsidR="0012575E" w:rsidRDefault="0012575E" w:rsidP="0012575E">
      <w:pPr>
        <w:pStyle w:val="Default"/>
        <w:numPr>
          <w:ilvl w:val="0"/>
          <w:numId w:val="4"/>
        </w:numPr>
        <w:ind w:left="1440" w:hanging="1440"/>
        <w:jc w:val="both"/>
        <w:rPr>
          <w:color w:val="auto"/>
          <w:sz w:val="22"/>
          <w:szCs w:val="22"/>
        </w:rPr>
      </w:pPr>
    </w:p>
    <w:p w14:paraId="652E9677" w14:textId="77777777" w:rsidR="00397C18" w:rsidRDefault="00397C18" w:rsidP="0012575E">
      <w:pPr>
        <w:pStyle w:val="Default"/>
        <w:numPr>
          <w:ilvl w:val="0"/>
          <w:numId w:val="4"/>
        </w:numPr>
        <w:ind w:left="1440" w:hanging="1440"/>
        <w:jc w:val="both"/>
        <w:rPr>
          <w:color w:val="auto"/>
          <w:sz w:val="22"/>
          <w:szCs w:val="22"/>
        </w:rPr>
      </w:pPr>
      <w:r>
        <w:rPr>
          <w:color w:val="auto"/>
          <w:sz w:val="22"/>
          <w:szCs w:val="22"/>
        </w:rPr>
        <w:t>(ii)</w:t>
      </w:r>
      <w:r>
        <w:rPr>
          <w:color w:val="auto"/>
          <w:sz w:val="22"/>
          <w:szCs w:val="22"/>
        </w:rPr>
        <w:tab/>
        <w:t xml:space="preserve">en el caso de valores representados en anotaciones en cuenta o registros contables asimilados, mediante instrucciones escritas (lo que incluye el uso de </w:t>
      </w:r>
      <w:r w:rsidR="007D2874">
        <w:rPr>
          <w:color w:val="auto"/>
          <w:sz w:val="22"/>
          <w:szCs w:val="22"/>
        </w:rPr>
        <w:t>télex</w:t>
      </w:r>
      <w:r>
        <w:rPr>
          <w:color w:val="auto"/>
          <w:sz w:val="22"/>
          <w:szCs w:val="22"/>
        </w:rPr>
        <w:t xml:space="preserve">, fax, o cualquier sistema electrónico) al sistema de anotaciones en cuenta, al depositario o a cualquier otra entidad especificada por el receptor de traspaso de los valores a la Cuenta de Valores del receptor, junto con copia escrita de dichas instrucciones remitida al receptor de modo que se logre la validez jurídica de la Cesión. </w:t>
      </w:r>
    </w:p>
    <w:p w14:paraId="474F4439" w14:textId="77777777" w:rsidR="00397C18" w:rsidRDefault="00397C18" w:rsidP="00183DF3">
      <w:pPr>
        <w:pStyle w:val="Default"/>
        <w:jc w:val="both"/>
        <w:rPr>
          <w:color w:val="auto"/>
          <w:sz w:val="22"/>
          <w:szCs w:val="22"/>
        </w:rPr>
      </w:pPr>
    </w:p>
    <w:p w14:paraId="46F91540" w14:textId="77777777" w:rsidR="00397C18" w:rsidRDefault="00397C18" w:rsidP="00183DF3">
      <w:pPr>
        <w:pStyle w:val="CM24"/>
        <w:spacing w:line="253" w:lineRule="atLeast"/>
        <w:ind w:left="708"/>
        <w:jc w:val="both"/>
        <w:rPr>
          <w:sz w:val="22"/>
          <w:szCs w:val="22"/>
        </w:rPr>
      </w:pPr>
      <w:r>
        <w:rPr>
          <w:sz w:val="22"/>
          <w:szCs w:val="22"/>
        </w:rPr>
        <w:t xml:space="preserve">Si una solicitud para la Cesión de Colateral o Colateral Equivalente se recibe antes de, o en la Hora de Notificación, dicha Cesión se realizará no más tarde del horario habitual de cierre de la Fecha de Liquidación correspondiente a la fecha en que es recibida la solicitud. Si dicha solicitud es recibida después de la Hora de Notificación, dicha Cesión se realizará no más tarde del horario habitual de cierre de la Fecha de Liquidación correspondiente al día después de la fecha en que es recibida la solicitud. </w:t>
      </w:r>
    </w:p>
    <w:p w14:paraId="5CB10A38" w14:textId="77777777" w:rsidR="00397C18" w:rsidRPr="0012575E" w:rsidRDefault="00397C18" w:rsidP="00183DF3">
      <w:pPr>
        <w:pStyle w:val="CM24"/>
        <w:spacing w:line="253" w:lineRule="atLeast"/>
        <w:ind w:left="713" w:hanging="712"/>
        <w:jc w:val="both"/>
        <w:rPr>
          <w:b/>
          <w:sz w:val="22"/>
          <w:szCs w:val="22"/>
        </w:rPr>
      </w:pPr>
      <w:r w:rsidRPr="0012575E">
        <w:rPr>
          <w:b/>
          <w:bCs/>
          <w:sz w:val="22"/>
          <w:szCs w:val="22"/>
        </w:rPr>
        <w:t>2.4.</w:t>
      </w:r>
      <w:r w:rsidRPr="0012575E">
        <w:rPr>
          <w:b/>
          <w:bCs/>
          <w:sz w:val="22"/>
          <w:szCs w:val="22"/>
        </w:rPr>
        <w:tab/>
      </w:r>
      <w:r w:rsidR="007D2874" w:rsidRPr="0012575E">
        <w:rPr>
          <w:b/>
          <w:bCs/>
          <w:sz w:val="22"/>
          <w:szCs w:val="22"/>
        </w:rPr>
        <w:t>Realización</w:t>
      </w:r>
      <w:r w:rsidRPr="0012575E">
        <w:rPr>
          <w:b/>
          <w:bCs/>
          <w:sz w:val="22"/>
          <w:szCs w:val="22"/>
        </w:rPr>
        <w:t xml:space="preserve"> </w:t>
      </w:r>
      <w:r w:rsidRPr="0012575E">
        <w:rPr>
          <w:b/>
          <w:sz w:val="22"/>
          <w:szCs w:val="22"/>
        </w:rPr>
        <w:t xml:space="preserve">de </w:t>
      </w:r>
      <w:r w:rsidR="007D2874" w:rsidRPr="0012575E">
        <w:rPr>
          <w:b/>
          <w:sz w:val="22"/>
          <w:szCs w:val="22"/>
        </w:rPr>
        <w:t>los</w:t>
      </w:r>
      <w:r w:rsidRPr="0012575E">
        <w:rPr>
          <w:b/>
          <w:sz w:val="22"/>
          <w:szCs w:val="22"/>
        </w:rPr>
        <w:t xml:space="preserve"> </w:t>
      </w:r>
      <w:r w:rsidR="007D2874" w:rsidRPr="0012575E">
        <w:rPr>
          <w:b/>
          <w:sz w:val="22"/>
          <w:szCs w:val="22"/>
        </w:rPr>
        <w:t>cálculos</w:t>
      </w:r>
      <w:r w:rsidRPr="0012575E">
        <w:rPr>
          <w:b/>
          <w:sz w:val="22"/>
          <w:szCs w:val="22"/>
        </w:rPr>
        <w:t xml:space="preserve">. </w:t>
      </w:r>
    </w:p>
    <w:p w14:paraId="0EE1FB9C" w14:textId="77777777" w:rsidR="00397C18" w:rsidRDefault="00397C18" w:rsidP="00183DF3">
      <w:pPr>
        <w:pStyle w:val="CM26"/>
        <w:spacing w:line="253" w:lineRule="atLeast"/>
        <w:ind w:left="708"/>
        <w:jc w:val="both"/>
        <w:rPr>
          <w:sz w:val="22"/>
          <w:szCs w:val="22"/>
        </w:rPr>
      </w:pPr>
      <w:r>
        <w:rPr>
          <w:sz w:val="22"/>
          <w:szCs w:val="22"/>
        </w:rPr>
        <w:t xml:space="preserve">Todos los cálculos del Valor y Riesgo Neto en relación con este Anexo III serán realizados por el Agente de Valoración en la Hora de Valoración. El Agente de Valoración notificará a cada una de las Partes sus cálculos no más tarde de la Hora de </w:t>
      </w:r>
      <w:r>
        <w:rPr>
          <w:sz w:val="22"/>
          <w:szCs w:val="22"/>
        </w:rPr>
        <w:lastRenderedPageBreak/>
        <w:t xml:space="preserve">Notificación en el Día Hábil siguiente a la Fecha de Valoración (o, en el caso de la Estipulación Quinta de este Anexo </w:t>
      </w:r>
      <w:r>
        <w:rPr>
          <w:sz w:val="20"/>
          <w:szCs w:val="20"/>
        </w:rPr>
        <w:t xml:space="preserve">III, </w:t>
      </w:r>
      <w:r>
        <w:rPr>
          <w:sz w:val="22"/>
          <w:szCs w:val="22"/>
        </w:rPr>
        <w:t xml:space="preserve">a la Fecha de Recálculo). </w:t>
      </w:r>
    </w:p>
    <w:p w14:paraId="0E7E4D6B" w14:textId="77777777" w:rsidR="00397C18" w:rsidRPr="0012575E" w:rsidRDefault="0012575E" w:rsidP="00183DF3">
      <w:pPr>
        <w:pStyle w:val="CM24"/>
        <w:spacing w:line="256" w:lineRule="atLeast"/>
        <w:jc w:val="both"/>
        <w:rPr>
          <w:b/>
          <w:sz w:val="22"/>
          <w:szCs w:val="22"/>
          <w:u w:val="single"/>
        </w:rPr>
      </w:pPr>
      <w:r w:rsidRPr="0012575E">
        <w:rPr>
          <w:b/>
          <w:sz w:val="22"/>
          <w:szCs w:val="22"/>
          <w:u w:val="single"/>
        </w:rPr>
        <w:t>TERCERA.- SUSTITUCI</w:t>
      </w:r>
      <w:r w:rsidR="00397C18" w:rsidRPr="0012575E">
        <w:rPr>
          <w:b/>
          <w:sz w:val="22"/>
          <w:szCs w:val="22"/>
          <w:u w:val="single"/>
        </w:rPr>
        <w:t>ON DE ACT</w:t>
      </w:r>
      <w:r w:rsidRPr="0012575E">
        <w:rPr>
          <w:b/>
          <w:sz w:val="22"/>
          <w:szCs w:val="22"/>
          <w:u w:val="single"/>
        </w:rPr>
        <w:t>IV</w:t>
      </w:r>
      <w:r w:rsidR="00397C18" w:rsidRPr="0012575E">
        <w:rPr>
          <w:b/>
          <w:sz w:val="22"/>
          <w:szCs w:val="22"/>
          <w:u w:val="single"/>
        </w:rPr>
        <w:t xml:space="preserve">OS DEL </w:t>
      </w:r>
      <w:r w:rsidR="00397C18" w:rsidRPr="0012575E">
        <w:rPr>
          <w:b/>
          <w:bCs/>
          <w:sz w:val="22"/>
          <w:szCs w:val="22"/>
          <w:u w:val="single"/>
        </w:rPr>
        <w:t xml:space="preserve">BALANCE EN GARANTIA. </w:t>
      </w:r>
    </w:p>
    <w:p w14:paraId="1E6CA8C3" w14:textId="77777777" w:rsidR="00397C18" w:rsidRDefault="00397C18" w:rsidP="00183DF3">
      <w:pPr>
        <w:pStyle w:val="CM24"/>
        <w:spacing w:line="251" w:lineRule="atLeast"/>
        <w:ind w:right="80"/>
        <w:jc w:val="both"/>
        <w:rPr>
          <w:sz w:val="22"/>
          <w:szCs w:val="22"/>
        </w:rPr>
      </w:pPr>
      <w:r>
        <w:rPr>
          <w:sz w:val="22"/>
          <w:szCs w:val="22"/>
        </w:rPr>
        <w:t xml:space="preserve">Salvo disposición en contrario en la Estipulación Adicional, el Cedente podrá, en cualquier Día Hábil, comunicar al Cesionario su interés en ceder a este último el Colateral especificado en su comunicación (el </w:t>
      </w:r>
      <w:r>
        <w:rPr>
          <w:b/>
          <w:bCs/>
          <w:sz w:val="22"/>
          <w:szCs w:val="22"/>
        </w:rPr>
        <w:t xml:space="preserve">"Nuevo Colateral") </w:t>
      </w:r>
      <w:r>
        <w:rPr>
          <w:sz w:val="22"/>
          <w:szCs w:val="22"/>
        </w:rPr>
        <w:t xml:space="preserve">en sustitución del Colateral que en ese momento integre el Balance en Garantía (el </w:t>
      </w:r>
      <w:r w:rsidRPr="0012575E">
        <w:rPr>
          <w:b/>
          <w:sz w:val="22"/>
          <w:szCs w:val="22"/>
        </w:rPr>
        <w:t>"Antiguo Colateral"</w:t>
      </w:r>
      <w:r>
        <w:rPr>
          <w:sz w:val="22"/>
          <w:szCs w:val="22"/>
        </w:rPr>
        <w:t xml:space="preserve">) igualmente identificado en dicha comunicación. </w:t>
      </w:r>
    </w:p>
    <w:p w14:paraId="4992FEBB" w14:textId="77777777" w:rsidR="00397C18" w:rsidRDefault="00397C18" w:rsidP="00183DF3">
      <w:pPr>
        <w:pStyle w:val="CM24"/>
        <w:spacing w:line="256" w:lineRule="atLeast"/>
        <w:jc w:val="both"/>
        <w:rPr>
          <w:sz w:val="22"/>
          <w:szCs w:val="22"/>
        </w:rPr>
      </w:pPr>
      <w:r>
        <w:rPr>
          <w:sz w:val="22"/>
          <w:szCs w:val="22"/>
        </w:rPr>
        <w:t xml:space="preserve">Si el Cesionario notifica al Cedente que consiente en la </w:t>
      </w:r>
      <w:r w:rsidR="007D2874">
        <w:rPr>
          <w:sz w:val="22"/>
          <w:szCs w:val="22"/>
        </w:rPr>
        <w:t>sustitución</w:t>
      </w:r>
      <w:r>
        <w:rPr>
          <w:sz w:val="22"/>
          <w:szCs w:val="22"/>
        </w:rPr>
        <w:t xml:space="preserve"> propuesta: </w:t>
      </w:r>
    </w:p>
    <w:p w14:paraId="27432720" w14:textId="77777777" w:rsidR="00397C18" w:rsidRDefault="00397C18" w:rsidP="0012575E">
      <w:pPr>
        <w:pStyle w:val="Default"/>
        <w:ind w:left="720" w:hanging="720"/>
        <w:jc w:val="both"/>
        <w:rPr>
          <w:color w:val="auto"/>
          <w:sz w:val="22"/>
          <w:szCs w:val="22"/>
        </w:rPr>
      </w:pPr>
      <w:r>
        <w:rPr>
          <w:color w:val="auto"/>
          <w:sz w:val="22"/>
          <w:szCs w:val="22"/>
        </w:rPr>
        <w:t>(i)</w:t>
      </w:r>
      <w:r>
        <w:rPr>
          <w:color w:val="auto"/>
          <w:sz w:val="22"/>
          <w:szCs w:val="22"/>
        </w:rPr>
        <w:tab/>
        <w:t xml:space="preserve">el Cedente estará obligado a ceder el Nuevo Colateral al Cesionario en la primera Fecha de Liquidación siguiente al día de recepción de la comunicación (que podrá ser realizada mediante comunicación telefónica) del consentimiento del Cesionario; y </w:t>
      </w:r>
    </w:p>
    <w:p w14:paraId="5640AC46" w14:textId="77777777" w:rsidR="00397C18" w:rsidRDefault="00397C18" w:rsidP="0012575E">
      <w:pPr>
        <w:pStyle w:val="Default"/>
        <w:ind w:left="720" w:hanging="720"/>
        <w:jc w:val="both"/>
        <w:rPr>
          <w:color w:val="auto"/>
          <w:sz w:val="22"/>
          <w:szCs w:val="22"/>
        </w:rPr>
      </w:pPr>
      <w:r>
        <w:rPr>
          <w:color w:val="auto"/>
          <w:sz w:val="22"/>
          <w:szCs w:val="22"/>
        </w:rPr>
        <w:t>(ii)</w:t>
      </w:r>
      <w:r>
        <w:rPr>
          <w:color w:val="auto"/>
          <w:sz w:val="22"/>
          <w:szCs w:val="22"/>
        </w:rPr>
        <w:tab/>
        <w:t xml:space="preserve">el Cesionario estará obligado a ceder al Cedente el Antiguo Colateral en forma de Colateral Equivalente no más tarde de la Fecha de Liquidación correspondiente a la fecha en la que el Cesionario reciba el Nuevo Colateral </w:t>
      </w:r>
    </w:p>
    <w:p w14:paraId="0A1DD55F" w14:textId="77777777" w:rsidR="00397C18" w:rsidRDefault="00397C18" w:rsidP="00183DF3">
      <w:pPr>
        <w:pStyle w:val="Default"/>
        <w:jc w:val="both"/>
        <w:rPr>
          <w:color w:val="auto"/>
          <w:sz w:val="22"/>
          <w:szCs w:val="22"/>
        </w:rPr>
      </w:pPr>
    </w:p>
    <w:p w14:paraId="358F4C1E" w14:textId="77777777" w:rsidR="00397C18" w:rsidRDefault="00397C18" w:rsidP="00183DF3">
      <w:pPr>
        <w:pStyle w:val="CM26"/>
        <w:spacing w:line="258" w:lineRule="atLeast"/>
        <w:jc w:val="both"/>
        <w:rPr>
          <w:sz w:val="22"/>
          <w:szCs w:val="22"/>
        </w:rPr>
      </w:pPr>
      <w:r>
        <w:rPr>
          <w:sz w:val="22"/>
          <w:szCs w:val="22"/>
        </w:rPr>
        <w:t xml:space="preserve">En cualquier caso, el Cesionario únicamente estará obligado a ceder Colateral Equivalente con un Valor a la Fecha de Cesión lo más ajustado posible, pero en ningún caso superior, al Valor, a esa fecha, del Nuevo Colateral. </w:t>
      </w:r>
    </w:p>
    <w:p w14:paraId="5567F3FD" w14:textId="77777777" w:rsidR="00397C18" w:rsidRPr="0012575E" w:rsidRDefault="00397C18" w:rsidP="00183DF3">
      <w:pPr>
        <w:pStyle w:val="CM24"/>
        <w:spacing w:line="258" w:lineRule="atLeast"/>
        <w:jc w:val="both"/>
        <w:rPr>
          <w:b/>
          <w:sz w:val="22"/>
          <w:szCs w:val="22"/>
          <w:u w:val="single"/>
        </w:rPr>
      </w:pPr>
      <w:r w:rsidRPr="0012575E">
        <w:rPr>
          <w:b/>
          <w:sz w:val="22"/>
          <w:szCs w:val="22"/>
          <w:u w:val="single"/>
        </w:rPr>
        <w:t>CUAR</w:t>
      </w:r>
      <w:r w:rsidR="00473E77">
        <w:rPr>
          <w:b/>
          <w:sz w:val="22"/>
          <w:szCs w:val="22"/>
          <w:u w:val="single"/>
        </w:rPr>
        <w:t>TA.-</w:t>
      </w:r>
      <w:r w:rsidRPr="0012575E">
        <w:rPr>
          <w:b/>
          <w:sz w:val="22"/>
          <w:szCs w:val="22"/>
          <w:u w:val="single"/>
        </w:rPr>
        <w:t xml:space="preserve"> </w:t>
      </w:r>
      <w:r w:rsidRPr="0012575E">
        <w:rPr>
          <w:b/>
          <w:bCs/>
          <w:sz w:val="22"/>
          <w:szCs w:val="22"/>
          <w:u w:val="single"/>
        </w:rPr>
        <w:t xml:space="preserve">RENDIMIENTOS </w:t>
      </w:r>
      <w:r w:rsidRPr="0012575E">
        <w:rPr>
          <w:b/>
          <w:sz w:val="22"/>
          <w:szCs w:val="22"/>
          <w:u w:val="single"/>
        </w:rPr>
        <w:t xml:space="preserve">DEL </w:t>
      </w:r>
      <w:r w:rsidR="007D2874" w:rsidRPr="0012575E">
        <w:rPr>
          <w:b/>
          <w:sz w:val="22"/>
          <w:szCs w:val="22"/>
          <w:u w:val="single"/>
        </w:rPr>
        <w:t>BALANCE</w:t>
      </w:r>
      <w:r w:rsidRPr="0012575E">
        <w:rPr>
          <w:b/>
          <w:sz w:val="22"/>
          <w:szCs w:val="22"/>
          <w:u w:val="single"/>
        </w:rPr>
        <w:t xml:space="preserve"> </w:t>
      </w:r>
      <w:r w:rsidRPr="0012575E">
        <w:rPr>
          <w:b/>
          <w:bCs/>
          <w:sz w:val="22"/>
          <w:szCs w:val="22"/>
          <w:u w:val="single"/>
        </w:rPr>
        <w:t xml:space="preserve">EN </w:t>
      </w:r>
      <w:r w:rsidR="007D2874" w:rsidRPr="0012575E">
        <w:rPr>
          <w:b/>
          <w:sz w:val="22"/>
          <w:szCs w:val="22"/>
          <w:u w:val="single"/>
        </w:rPr>
        <w:t>GARAN</w:t>
      </w:r>
      <w:r w:rsidRPr="0012575E">
        <w:rPr>
          <w:b/>
          <w:sz w:val="22"/>
          <w:szCs w:val="22"/>
          <w:u w:val="single"/>
        </w:rPr>
        <w:t xml:space="preserve">TIA, </w:t>
      </w:r>
    </w:p>
    <w:p w14:paraId="100809A1" w14:textId="77777777" w:rsidR="00397C18" w:rsidRDefault="00397C18" w:rsidP="00183DF3">
      <w:pPr>
        <w:pStyle w:val="CM29"/>
        <w:spacing w:line="258" w:lineRule="atLeast"/>
        <w:jc w:val="both"/>
        <w:rPr>
          <w:sz w:val="22"/>
          <w:szCs w:val="22"/>
        </w:rPr>
      </w:pPr>
      <w:r>
        <w:rPr>
          <w:sz w:val="22"/>
          <w:szCs w:val="22"/>
        </w:rPr>
        <w:t xml:space="preserve">El Cesionario entregará al Cedente: </w:t>
      </w:r>
    </w:p>
    <w:tbl>
      <w:tblPr>
        <w:tblW w:w="8575" w:type="dxa"/>
        <w:tblLook w:val="0000" w:firstRow="0" w:lastRow="0" w:firstColumn="0" w:lastColumn="0" w:noHBand="0" w:noVBand="0"/>
      </w:tblPr>
      <w:tblGrid>
        <w:gridCol w:w="525"/>
        <w:gridCol w:w="8050"/>
      </w:tblGrid>
      <w:tr w:rsidR="00397C18" w:rsidRPr="002D181B" w14:paraId="1982BE50" w14:textId="77777777">
        <w:tblPrEx>
          <w:tblCellMar>
            <w:top w:w="0" w:type="dxa"/>
            <w:bottom w:w="0" w:type="dxa"/>
          </w:tblCellMar>
        </w:tblPrEx>
        <w:trPr>
          <w:trHeight w:val="235"/>
        </w:trPr>
        <w:tc>
          <w:tcPr>
            <w:tcW w:w="525" w:type="dxa"/>
          </w:tcPr>
          <w:p w14:paraId="1F661B5D" w14:textId="77777777" w:rsidR="00397C18" w:rsidRPr="002D181B" w:rsidRDefault="00397C18" w:rsidP="00183DF3">
            <w:pPr>
              <w:pStyle w:val="Default"/>
              <w:jc w:val="both"/>
              <w:rPr>
                <w:sz w:val="22"/>
                <w:szCs w:val="22"/>
              </w:rPr>
            </w:pPr>
            <w:r w:rsidRPr="002D181B">
              <w:rPr>
                <w:sz w:val="22"/>
                <w:szCs w:val="22"/>
              </w:rPr>
              <w:t xml:space="preserve">(i) </w:t>
            </w:r>
          </w:p>
        </w:tc>
        <w:tc>
          <w:tcPr>
            <w:tcW w:w="8050" w:type="dxa"/>
          </w:tcPr>
          <w:p w14:paraId="2B348944" w14:textId="77777777" w:rsidR="00397C18" w:rsidRPr="002D181B" w:rsidRDefault="00397C18" w:rsidP="00183DF3">
            <w:pPr>
              <w:pStyle w:val="Default"/>
              <w:jc w:val="both"/>
              <w:rPr>
                <w:sz w:val="22"/>
                <w:szCs w:val="22"/>
              </w:rPr>
            </w:pPr>
            <w:r w:rsidRPr="002D181B">
              <w:rPr>
                <w:sz w:val="22"/>
                <w:szCs w:val="22"/>
              </w:rPr>
              <w:t xml:space="preserve">no más tarde de la Fecha de Liquidación siguiente a cada Fecha de Rendimiento, los </w:t>
            </w:r>
          </w:p>
        </w:tc>
      </w:tr>
      <w:tr w:rsidR="00397C18" w:rsidRPr="002D181B" w14:paraId="24E0D2AE" w14:textId="77777777">
        <w:tblPrEx>
          <w:tblCellMar>
            <w:top w:w="0" w:type="dxa"/>
            <w:bottom w:w="0" w:type="dxa"/>
          </w:tblCellMar>
        </w:tblPrEx>
        <w:trPr>
          <w:trHeight w:val="378"/>
        </w:trPr>
        <w:tc>
          <w:tcPr>
            <w:tcW w:w="525" w:type="dxa"/>
          </w:tcPr>
          <w:p w14:paraId="47CBB6EA" w14:textId="77777777" w:rsidR="00397C18" w:rsidRPr="002D181B" w:rsidRDefault="00397C18" w:rsidP="00183DF3">
            <w:pPr>
              <w:pStyle w:val="Default"/>
              <w:jc w:val="both"/>
              <w:rPr>
                <w:color w:val="auto"/>
              </w:rPr>
            </w:pPr>
          </w:p>
        </w:tc>
        <w:tc>
          <w:tcPr>
            <w:tcW w:w="8050" w:type="dxa"/>
          </w:tcPr>
          <w:p w14:paraId="6D34FD28" w14:textId="77777777" w:rsidR="00397C18" w:rsidRPr="002D181B" w:rsidRDefault="00397C18" w:rsidP="00183DF3">
            <w:pPr>
              <w:pStyle w:val="Default"/>
              <w:jc w:val="both"/>
              <w:rPr>
                <w:sz w:val="22"/>
                <w:szCs w:val="22"/>
              </w:rPr>
            </w:pPr>
            <w:r w:rsidRPr="002D181B">
              <w:rPr>
                <w:sz w:val="22"/>
                <w:szCs w:val="22"/>
              </w:rPr>
              <w:t xml:space="preserve">Rendimientos Fungibles, y </w:t>
            </w:r>
          </w:p>
        </w:tc>
      </w:tr>
      <w:tr w:rsidR="00397C18" w:rsidRPr="002D181B" w14:paraId="51596D13" w14:textId="77777777">
        <w:tblPrEx>
          <w:tblCellMar>
            <w:top w:w="0" w:type="dxa"/>
            <w:bottom w:w="0" w:type="dxa"/>
          </w:tblCellMar>
        </w:tblPrEx>
        <w:trPr>
          <w:trHeight w:val="353"/>
        </w:trPr>
        <w:tc>
          <w:tcPr>
            <w:tcW w:w="525" w:type="dxa"/>
            <w:vAlign w:val="bottom"/>
          </w:tcPr>
          <w:p w14:paraId="5FFF2D75" w14:textId="77777777" w:rsidR="00397C18" w:rsidRPr="002D181B" w:rsidRDefault="00397C18" w:rsidP="00183DF3">
            <w:pPr>
              <w:pStyle w:val="Default"/>
              <w:jc w:val="both"/>
              <w:rPr>
                <w:sz w:val="22"/>
                <w:szCs w:val="22"/>
              </w:rPr>
            </w:pPr>
            <w:r w:rsidRPr="002D181B">
              <w:rPr>
                <w:sz w:val="22"/>
                <w:szCs w:val="22"/>
              </w:rPr>
              <w:t xml:space="preserve">(ii) </w:t>
            </w:r>
          </w:p>
        </w:tc>
        <w:tc>
          <w:tcPr>
            <w:tcW w:w="8050" w:type="dxa"/>
            <w:vAlign w:val="bottom"/>
          </w:tcPr>
          <w:p w14:paraId="5B7FCFF2" w14:textId="77777777" w:rsidR="00397C18" w:rsidRPr="002D181B" w:rsidRDefault="00397C18" w:rsidP="00183DF3">
            <w:pPr>
              <w:pStyle w:val="Default"/>
              <w:jc w:val="both"/>
              <w:rPr>
                <w:sz w:val="22"/>
                <w:szCs w:val="22"/>
              </w:rPr>
            </w:pPr>
            <w:r w:rsidRPr="002D181B">
              <w:rPr>
                <w:sz w:val="22"/>
                <w:szCs w:val="22"/>
              </w:rPr>
              <w:t xml:space="preserve">en las fechas determinadas en la Estipulación Adicional, los Intereses que correspondan; </w:t>
            </w:r>
          </w:p>
        </w:tc>
      </w:tr>
    </w:tbl>
    <w:p w14:paraId="6EBA5CE6" w14:textId="77777777" w:rsidR="00397C18" w:rsidRDefault="00397C18" w:rsidP="00183DF3">
      <w:pPr>
        <w:pStyle w:val="Default"/>
        <w:jc w:val="both"/>
        <w:rPr>
          <w:color w:val="auto"/>
        </w:rPr>
      </w:pPr>
    </w:p>
    <w:p w14:paraId="7E8ACC13" w14:textId="77777777" w:rsidR="00397C18" w:rsidRPr="00473E77" w:rsidRDefault="00397C18" w:rsidP="00183DF3">
      <w:pPr>
        <w:pStyle w:val="CM26"/>
        <w:spacing w:line="256" w:lineRule="atLeast"/>
        <w:jc w:val="both"/>
        <w:rPr>
          <w:sz w:val="22"/>
          <w:szCs w:val="22"/>
        </w:rPr>
      </w:pPr>
      <w:r w:rsidRPr="00473E77">
        <w:rPr>
          <w:sz w:val="22"/>
          <w:szCs w:val="22"/>
        </w:rPr>
        <w:t>en ambos casos, siempre y cuando su entrega no suponga ni el establecimiento de una Cantidad a Entregar ni su incremento en caso de que ya existiera, de acuerdo con las determinaciones que realice el Agente de Valoración, a cuyos efectos, la referida Fecha de Liquidación se cons</w:t>
      </w:r>
      <w:r w:rsidR="00473E77">
        <w:rPr>
          <w:sz w:val="22"/>
          <w:szCs w:val="22"/>
        </w:rPr>
        <w:t>iderará una Fecha de Valoración.</w:t>
      </w:r>
    </w:p>
    <w:p w14:paraId="2DC40417" w14:textId="77777777" w:rsidR="00397C18" w:rsidRPr="0012575E" w:rsidRDefault="00473E77" w:rsidP="00183DF3">
      <w:pPr>
        <w:pStyle w:val="CM24"/>
        <w:spacing w:line="256" w:lineRule="atLeast"/>
        <w:jc w:val="both"/>
        <w:rPr>
          <w:b/>
          <w:u w:val="single"/>
        </w:rPr>
      </w:pPr>
      <w:r>
        <w:rPr>
          <w:b/>
          <w:u w:val="single"/>
        </w:rPr>
        <w:t>QUINTA.-</w:t>
      </w:r>
      <w:r w:rsidR="0012575E">
        <w:rPr>
          <w:b/>
          <w:u w:val="single"/>
        </w:rPr>
        <w:t xml:space="preserve"> PROCEDIIMENTO DE R</w:t>
      </w:r>
      <w:r w:rsidR="00397C18" w:rsidRPr="0012575E">
        <w:rPr>
          <w:b/>
          <w:u w:val="single"/>
        </w:rPr>
        <w:t xml:space="preserve">ESOLUCIÓN </w:t>
      </w:r>
      <w:r w:rsidR="00397C18" w:rsidRPr="0012575E">
        <w:rPr>
          <w:b/>
          <w:bCs/>
          <w:u w:val="single"/>
        </w:rPr>
        <w:t xml:space="preserve">DE CONTROVERSIAS </w:t>
      </w:r>
    </w:p>
    <w:p w14:paraId="53DDC4B0" w14:textId="77777777" w:rsidR="00397C18" w:rsidRDefault="00397C18" w:rsidP="00183DF3">
      <w:pPr>
        <w:pStyle w:val="CM24"/>
        <w:spacing w:line="256" w:lineRule="atLeast"/>
        <w:jc w:val="both"/>
        <w:rPr>
          <w:sz w:val="22"/>
          <w:szCs w:val="22"/>
        </w:rPr>
      </w:pPr>
      <w:r>
        <w:t xml:space="preserve">Si una de las Partes (en adelante, la </w:t>
      </w:r>
      <w:r>
        <w:rPr>
          <w:b/>
          <w:bCs/>
          <w:sz w:val="20"/>
          <w:szCs w:val="20"/>
        </w:rPr>
        <w:t xml:space="preserve">"Parte </w:t>
      </w:r>
      <w:r w:rsidR="007D2874">
        <w:rPr>
          <w:b/>
          <w:bCs/>
          <w:sz w:val="22"/>
          <w:szCs w:val="22"/>
        </w:rPr>
        <w:t>discrepante</w:t>
      </w:r>
      <w:r>
        <w:rPr>
          <w:b/>
          <w:bCs/>
          <w:sz w:val="22"/>
          <w:szCs w:val="22"/>
        </w:rPr>
        <w:t xml:space="preserve">") </w:t>
      </w:r>
      <w:r>
        <w:rPr>
          <w:sz w:val="22"/>
          <w:szCs w:val="22"/>
        </w:rPr>
        <w:t xml:space="preserve">cuestionara (i) la valoración del Agente de Valoración sobre la Cantidad a Entregar o la Cantidad a Devolver o (ii) el Valor de cualquier Cesión de Colateral o Colateral Equivalente: </w:t>
      </w:r>
    </w:p>
    <w:p w14:paraId="7DCF8813" w14:textId="77777777" w:rsidR="00397C18" w:rsidRDefault="00397C18" w:rsidP="0012575E">
      <w:pPr>
        <w:pStyle w:val="Default"/>
        <w:ind w:left="720" w:hanging="720"/>
        <w:jc w:val="both"/>
        <w:rPr>
          <w:color w:val="auto"/>
          <w:sz w:val="22"/>
          <w:szCs w:val="22"/>
        </w:rPr>
      </w:pPr>
      <w:r>
        <w:rPr>
          <w:color w:val="auto"/>
          <w:sz w:val="22"/>
          <w:szCs w:val="22"/>
        </w:rPr>
        <w:t>(1)</w:t>
      </w:r>
      <w:r>
        <w:rPr>
          <w:color w:val="auto"/>
          <w:sz w:val="22"/>
          <w:szCs w:val="22"/>
        </w:rPr>
        <w:tab/>
        <w:t>la Parte Discrepante lo notificará a la otra Parte y al Agente de Valoración no más tarde del horario habitual de cierre del Día Hábil posterior a (i) la fecha de recepción del requerimiento de la Cantidad a Entregar o a Devolver; o, en s</w:t>
      </w:r>
      <w:r w:rsidR="0012575E">
        <w:rPr>
          <w:color w:val="auto"/>
          <w:sz w:val="22"/>
          <w:szCs w:val="22"/>
        </w:rPr>
        <w:t>u caso (ii) la Fecha de Cesión;</w:t>
      </w:r>
    </w:p>
    <w:p w14:paraId="1DA42F93" w14:textId="77777777" w:rsidR="0012575E" w:rsidRDefault="0012575E" w:rsidP="0012575E">
      <w:pPr>
        <w:pStyle w:val="Default"/>
        <w:ind w:left="720" w:hanging="720"/>
        <w:jc w:val="both"/>
        <w:rPr>
          <w:color w:val="auto"/>
          <w:sz w:val="22"/>
          <w:szCs w:val="22"/>
        </w:rPr>
      </w:pPr>
    </w:p>
    <w:p w14:paraId="3EC1D8D1" w14:textId="77777777" w:rsidR="00397C18" w:rsidRDefault="00397C18" w:rsidP="00EB770D">
      <w:pPr>
        <w:pStyle w:val="Default"/>
        <w:ind w:left="720" w:hanging="720"/>
        <w:jc w:val="both"/>
        <w:rPr>
          <w:color w:val="auto"/>
          <w:sz w:val="22"/>
          <w:szCs w:val="22"/>
        </w:rPr>
      </w:pPr>
      <w:r>
        <w:rPr>
          <w:color w:val="auto"/>
          <w:sz w:val="22"/>
          <w:szCs w:val="22"/>
        </w:rPr>
        <w:t>(2)</w:t>
      </w:r>
      <w:r>
        <w:rPr>
          <w:color w:val="auto"/>
          <w:sz w:val="22"/>
          <w:szCs w:val="22"/>
        </w:rPr>
        <w:tab/>
        <w:t xml:space="preserve">en el supuesto contemplado en el numeral (i) del apartado (1) anterior, la Parte a la que </w:t>
      </w:r>
      <w:r>
        <w:rPr>
          <w:color w:val="auto"/>
          <w:sz w:val="22"/>
          <w:szCs w:val="22"/>
        </w:rPr>
        <w:lastRenderedPageBreak/>
        <w:t>corresponda realizará la Cesión de los activos que no sean objeto de disputa a la otra Parte no más tarde del horario habitual de cierre de la Fecha de Liquidación correspondiente a la fecha en que se recibiera el requerimiento de la Cantidad a Entregar o a Devolver, según el ca</w:t>
      </w:r>
      <w:r w:rsidR="0012575E">
        <w:rPr>
          <w:color w:val="auto"/>
          <w:sz w:val="22"/>
          <w:szCs w:val="22"/>
        </w:rPr>
        <w:t>so;</w:t>
      </w:r>
    </w:p>
    <w:p w14:paraId="2DA7AF88" w14:textId="77777777" w:rsidR="0012575E" w:rsidRDefault="0012575E" w:rsidP="00EB770D">
      <w:pPr>
        <w:pStyle w:val="Default"/>
        <w:jc w:val="both"/>
        <w:rPr>
          <w:color w:val="auto"/>
          <w:sz w:val="22"/>
          <w:szCs w:val="22"/>
        </w:rPr>
      </w:pPr>
    </w:p>
    <w:p w14:paraId="1505B393" w14:textId="77777777" w:rsidR="00397C18" w:rsidRDefault="0012575E" w:rsidP="0012575E">
      <w:pPr>
        <w:pStyle w:val="Default"/>
        <w:ind w:left="720" w:hanging="720"/>
        <w:jc w:val="both"/>
        <w:rPr>
          <w:color w:val="auto"/>
          <w:sz w:val="22"/>
          <w:szCs w:val="22"/>
        </w:rPr>
      </w:pPr>
      <w:r>
        <w:rPr>
          <w:color w:val="auto"/>
          <w:sz w:val="22"/>
          <w:szCs w:val="22"/>
        </w:rPr>
        <w:t>(3)</w:t>
      </w:r>
      <w:r>
        <w:rPr>
          <w:color w:val="auto"/>
          <w:sz w:val="22"/>
          <w:szCs w:val="22"/>
        </w:rPr>
        <w:tab/>
      </w:r>
      <w:r w:rsidR="00397C18">
        <w:rPr>
          <w:color w:val="auto"/>
          <w:sz w:val="22"/>
          <w:szCs w:val="22"/>
        </w:rPr>
        <w:t xml:space="preserve">las Partes tratarán de resolver entre ellas la controversia existente; y si no se llegara a un acuerdo </w:t>
      </w:r>
      <w:r>
        <w:rPr>
          <w:color w:val="auto"/>
          <w:sz w:val="22"/>
          <w:szCs w:val="22"/>
        </w:rPr>
        <w:t>antes de la Hora de Resolución:</w:t>
      </w:r>
    </w:p>
    <w:p w14:paraId="16C6C69A" w14:textId="77777777" w:rsidR="0012575E" w:rsidRDefault="0012575E" w:rsidP="0012575E">
      <w:pPr>
        <w:pStyle w:val="Default"/>
        <w:ind w:left="720" w:hanging="720"/>
        <w:jc w:val="both"/>
        <w:rPr>
          <w:color w:val="auto"/>
          <w:sz w:val="22"/>
          <w:szCs w:val="22"/>
        </w:rPr>
      </w:pPr>
    </w:p>
    <w:p w14:paraId="62BDBE43" w14:textId="77777777" w:rsidR="00397C18" w:rsidRDefault="00397C18" w:rsidP="0012575E">
      <w:pPr>
        <w:pStyle w:val="Default"/>
        <w:numPr>
          <w:ilvl w:val="1"/>
          <w:numId w:val="6"/>
        </w:numPr>
        <w:ind w:left="1440" w:hanging="1440"/>
        <w:jc w:val="both"/>
        <w:rPr>
          <w:color w:val="auto"/>
          <w:sz w:val="22"/>
          <w:szCs w:val="22"/>
        </w:rPr>
      </w:pPr>
      <w:r>
        <w:rPr>
          <w:color w:val="auto"/>
          <w:sz w:val="22"/>
          <w:szCs w:val="22"/>
        </w:rPr>
        <w:t xml:space="preserve">(i) </w:t>
      </w:r>
      <w:r w:rsidR="0012575E">
        <w:rPr>
          <w:color w:val="auto"/>
          <w:sz w:val="22"/>
          <w:szCs w:val="22"/>
        </w:rPr>
        <w:tab/>
      </w:r>
      <w:r>
        <w:rPr>
          <w:color w:val="auto"/>
          <w:sz w:val="22"/>
          <w:szCs w:val="22"/>
        </w:rPr>
        <w:t xml:space="preserve">en el caso de que la controversia verse acerca de la Cantidad a Entregar o de la Cantidad a Devolver, el Agente de Valoración volverá a realizar el cálculo del Riesgo Neto y el </w:t>
      </w:r>
      <w:r w:rsidR="0012575E">
        <w:rPr>
          <w:color w:val="auto"/>
          <w:sz w:val="22"/>
          <w:szCs w:val="22"/>
        </w:rPr>
        <w:t xml:space="preserve">Valor en la Fecha de </w:t>
      </w:r>
      <w:r w:rsidR="00664EE7">
        <w:rPr>
          <w:color w:val="auto"/>
          <w:sz w:val="22"/>
          <w:szCs w:val="22"/>
        </w:rPr>
        <w:t>Recalculo</w:t>
      </w:r>
      <w:r w:rsidR="0012575E">
        <w:rPr>
          <w:color w:val="auto"/>
          <w:sz w:val="22"/>
          <w:szCs w:val="22"/>
        </w:rPr>
        <w:t>:</w:t>
      </w:r>
    </w:p>
    <w:p w14:paraId="2438F2A6" w14:textId="77777777" w:rsidR="0012575E" w:rsidRDefault="0012575E" w:rsidP="0012575E">
      <w:pPr>
        <w:pStyle w:val="Default"/>
        <w:numPr>
          <w:ilvl w:val="1"/>
          <w:numId w:val="6"/>
        </w:numPr>
        <w:ind w:left="1440" w:hanging="1440"/>
        <w:jc w:val="both"/>
        <w:rPr>
          <w:color w:val="auto"/>
          <w:sz w:val="22"/>
          <w:szCs w:val="22"/>
        </w:rPr>
      </w:pPr>
    </w:p>
    <w:p w14:paraId="37C189C5" w14:textId="77777777" w:rsidR="00397C18" w:rsidRDefault="00397C18" w:rsidP="0012575E">
      <w:pPr>
        <w:pStyle w:val="Default"/>
        <w:ind w:left="2160" w:hanging="742"/>
        <w:jc w:val="both"/>
        <w:rPr>
          <w:color w:val="auto"/>
          <w:sz w:val="22"/>
          <w:szCs w:val="22"/>
        </w:rPr>
      </w:pPr>
      <w:r>
        <w:rPr>
          <w:color w:val="auto"/>
          <w:sz w:val="22"/>
          <w:szCs w:val="22"/>
        </w:rPr>
        <w:t>(A)</w:t>
      </w:r>
      <w:r>
        <w:rPr>
          <w:color w:val="auto"/>
          <w:sz w:val="22"/>
          <w:szCs w:val="22"/>
        </w:rPr>
        <w:tab/>
        <w:t>utilizando los cálculos de aquella parte del Riesgo Neto atribuible a las Operacione</w:t>
      </w:r>
      <w:r w:rsidR="0012575E">
        <w:rPr>
          <w:color w:val="auto"/>
          <w:sz w:val="22"/>
          <w:szCs w:val="22"/>
        </w:rPr>
        <w:t>s que no son objeto de disputa;</w:t>
      </w:r>
    </w:p>
    <w:p w14:paraId="16CF1EA4" w14:textId="77777777" w:rsidR="0012575E" w:rsidRDefault="0012575E" w:rsidP="0012575E">
      <w:pPr>
        <w:pStyle w:val="Default"/>
        <w:ind w:left="2160" w:hanging="742"/>
        <w:jc w:val="both"/>
        <w:rPr>
          <w:color w:val="auto"/>
          <w:sz w:val="22"/>
          <w:szCs w:val="22"/>
        </w:rPr>
      </w:pPr>
    </w:p>
    <w:p w14:paraId="22D7256A" w14:textId="77777777" w:rsidR="00397C18" w:rsidRDefault="00397C18" w:rsidP="0012575E">
      <w:pPr>
        <w:pStyle w:val="Default"/>
        <w:ind w:left="2160" w:hanging="742"/>
        <w:jc w:val="both"/>
        <w:rPr>
          <w:color w:val="auto"/>
          <w:sz w:val="22"/>
          <w:szCs w:val="22"/>
        </w:rPr>
      </w:pPr>
      <w:r>
        <w:rPr>
          <w:color w:val="auto"/>
          <w:sz w:val="22"/>
          <w:szCs w:val="22"/>
        </w:rPr>
        <w:t>(B)</w:t>
      </w:r>
      <w:r>
        <w:rPr>
          <w:color w:val="auto"/>
          <w:sz w:val="22"/>
          <w:szCs w:val="22"/>
        </w:rPr>
        <w:tab/>
        <w:t xml:space="preserve">calculando aquella parte del Riesgo Neto atribuible a las Operaciones objeto de disputa, tomando para ello como referencia el Valor de Mercado de éstas, en el bien entendido de que, si se obtuvieran dos o tres valoraciones, el Valor de Mercado será la media </w:t>
      </w:r>
      <w:r w:rsidR="007D2874">
        <w:rPr>
          <w:color w:val="auto"/>
          <w:sz w:val="22"/>
          <w:szCs w:val="22"/>
        </w:rPr>
        <w:t>aritmética</w:t>
      </w:r>
      <w:r>
        <w:rPr>
          <w:color w:val="auto"/>
          <w:sz w:val="22"/>
          <w:szCs w:val="22"/>
        </w:rPr>
        <w:t xml:space="preserve"> de éstas, y si se obtuvieran menos de dos, se tomarán los cálculos proporcionados por el Agente de Valoración originariamente; y </w:t>
      </w:r>
    </w:p>
    <w:p w14:paraId="32C310F3" w14:textId="77777777" w:rsidR="0012575E" w:rsidRDefault="0012575E" w:rsidP="0012575E">
      <w:pPr>
        <w:pStyle w:val="Default"/>
        <w:ind w:left="2160" w:hanging="742"/>
        <w:jc w:val="both"/>
        <w:rPr>
          <w:color w:val="auto"/>
          <w:sz w:val="22"/>
          <w:szCs w:val="22"/>
        </w:rPr>
      </w:pPr>
    </w:p>
    <w:p w14:paraId="006E1206" w14:textId="77777777" w:rsidR="00397C18" w:rsidRDefault="00397C18" w:rsidP="0012575E">
      <w:pPr>
        <w:pStyle w:val="Default"/>
        <w:ind w:left="2160" w:hanging="742"/>
        <w:jc w:val="both"/>
        <w:rPr>
          <w:color w:val="auto"/>
          <w:sz w:val="22"/>
          <w:szCs w:val="22"/>
        </w:rPr>
      </w:pPr>
      <w:r>
        <w:rPr>
          <w:color w:val="auto"/>
          <w:sz w:val="22"/>
          <w:szCs w:val="22"/>
        </w:rPr>
        <w:t xml:space="preserve">(C) </w:t>
      </w:r>
      <w:r w:rsidR="0012575E">
        <w:rPr>
          <w:color w:val="auto"/>
          <w:sz w:val="22"/>
          <w:szCs w:val="22"/>
        </w:rPr>
        <w:tab/>
      </w:r>
      <w:r>
        <w:rPr>
          <w:color w:val="auto"/>
          <w:sz w:val="22"/>
          <w:szCs w:val="22"/>
        </w:rPr>
        <w:t>utilizando el procedimiento determinado en la Estipulación Adicional para calcular el Valor, si éste fuera objeto de controversia, del Ba</w:t>
      </w:r>
      <w:r w:rsidR="0012575E">
        <w:rPr>
          <w:color w:val="auto"/>
          <w:sz w:val="22"/>
          <w:szCs w:val="22"/>
        </w:rPr>
        <w:t>lance en Garantía;</w:t>
      </w:r>
    </w:p>
    <w:p w14:paraId="19B61832" w14:textId="77777777" w:rsidR="0012575E" w:rsidRDefault="0012575E" w:rsidP="0012575E">
      <w:pPr>
        <w:pStyle w:val="Default"/>
        <w:ind w:left="2160" w:hanging="742"/>
        <w:jc w:val="both"/>
        <w:rPr>
          <w:color w:val="auto"/>
          <w:sz w:val="22"/>
          <w:szCs w:val="22"/>
        </w:rPr>
      </w:pPr>
    </w:p>
    <w:p w14:paraId="79CAE97D" w14:textId="77777777" w:rsidR="00397C18" w:rsidRDefault="00397C18" w:rsidP="0012575E">
      <w:pPr>
        <w:pStyle w:val="Default"/>
        <w:numPr>
          <w:ilvl w:val="1"/>
          <w:numId w:val="6"/>
        </w:numPr>
        <w:ind w:left="1440" w:hanging="1440"/>
        <w:jc w:val="both"/>
        <w:rPr>
          <w:color w:val="auto"/>
          <w:sz w:val="22"/>
          <w:szCs w:val="22"/>
        </w:rPr>
      </w:pPr>
      <w:r>
        <w:rPr>
          <w:color w:val="auto"/>
          <w:sz w:val="22"/>
          <w:szCs w:val="22"/>
        </w:rPr>
        <w:t xml:space="preserve">(ii) </w:t>
      </w:r>
      <w:r w:rsidR="0012575E">
        <w:rPr>
          <w:color w:val="auto"/>
          <w:sz w:val="22"/>
          <w:szCs w:val="22"/>
        </w:rPr>
        <w:tab/>
      </w:r>
      <w:r>
        <w:rPr>
          <w:color w:val="auto"/>
          <w:sz w:val="22"/>
          <w:szCs w:val="22"/>
        </w:rPr>
        <w:t xml:space="preserve">en el caso de que el objeto de la controversia sea el Valor de cualquier Cesión de Colateral o de Colateral </w:t>
      </w:r>
      <w:r w:rsidR="007D2874">
        <w:rPr>
          <w:color w:val="auto"/>
          <w:sz w:val="22"/>
          <w:szCs w:val="22"/>
        </w:rPr>
        <w:t>Equivalente,</w:t>
      </w:r>
      <w:r>
        <w:rPr>
          <w:color w:val="auto"/>
          <w:sz w:val="22"/>
          <w:szCs w:val="22"/>
        </w:rPr>
        <w:t xml:space="preserve"> el Agente de Valoración recalculará el Valor en la Fecha de Cesión de acuerdo con la Estipulación Adicional. </w:t>
      </w:r>
    </w:p>
    <w:p w14:paraId="786C5602" w14:textId="77777777" w:rsidR="00397C18" w:rsidRDefault="00397C18" w:rsidP="00183DF3">
      <w:pPr>
        <w:pStyle w:val="CM4"/>
        <w:jc w:val="both"/>
        <w:rPr>
          <w:sz w:val="22"/>
          <w:szCs w:val="22"/>
        </w:rPr>
      </w:pPr>
    </w:p>
    <w:p w14:paraId="6F2C7B0B" w14:textId="77777777" w:rsidR="00397C18" w:rsidRDefault="00397C18" w:rsidP="00183DF3">
      <w:pPr>
        <w:pStyle w:val="CM26"/>
        <w:spacing w:line="258" w:lineRule="atLeast"/>
        <w:jc w:val="both"/>
        <w:rPr>
          <w:sz w:val="22"/>
          <w:szCs w:val="22"/>
        </w:rPr>
      </w:pPr>
      <w:r>
        <w:rPr>
          <w:sz w:val="22"/>
          <w:szCs w:val="22"/>
        </w:rPr>
        <w:t xml:space="preserve">Una vez realizadas las actuaciones anteriores, el Agente de Valoración lo notificará a las Partes lo antes posible, y en ningún caso más tarde de la Hora de Notificación del Día Hábil siguiente a la Hora de Resolución. La Parte que corresponda, previo requerimiento realizado con posterioridad a dicha comunicación del Agente de Valoración, o al acuerdo alcanzado de </w:t>
      </w:r>
      <w:r w:rsidR="007D2874">
        <w:rPr>
          <w:sz w:val="22"/>
          <w:szCs w:val="22"/>
        </w:rPr>
        <w:t>conformidad</w:t>
      </w:r>
      <w:r>
        <w:rPr>
          <w:sz w:val="22"/>
          <w:szCs w:val="22"/>
        </w:rPr>
        <w:t xml:space="preserve"> con el apartado (3) anterior, llevará a cabo la Cesión que corresponda. Hasta dicho momento, la falta de realización de la Cesión durante el </w:t>
      </w:r>
      <w:r w:rsidR="007D2874">
        <w:rPr>
          <w:sz w:val="22"/>
          <w:szCs w:val="22"/>
        </w:rPr>
        <w:t>procedimiento</w:t>
      </w:r>
      <w:r>
        <w:rPr>
          <w:sz w:val="22"/>
          <w:szCs w:val="22"/>
        </w:rPr>
        <w:t xml:space="preserve"> de resolución de controversias anteriormente descrito, no supondrá Causa d</w:t>
      </w:r>
      <w:r w:rsidR="0012575E">
        <w:rPr>
          <w:sz w:val="22"/>
          <w:szCs w:val="22"/>
        </w:rPr>
        <w:t>e Vencimiento Anticipado del CMO</w:t>
      </w:r>
      <w:r>
        <w:rPr>
          <w:sz w:val="22"/>
          <w:szCs w:val="22"/>
        </w:rPr>
        <w:t xml:space="preserve">F. </w:t>
      </w:r>
    </w:p>
    <w:p w14:paraId="187939A1" w14:textId="77777777" w:rsidR="00397C18" w:rsidRPr="0012575E" w:rsidRDefault="00397C18" w:rsidP="00183DF3">
      <w:pPr>
        <w:pStyle w:val="CM24"/>
        <w:spacing w:line="258" w:lineRule="atLeast"/>
        <w:jc w:val="both"/>
        <w:rPr>
          <w:b/>
          <w:sz w:val="20"/>
          <w:szCs w:val="20"/>
          <w:u w:val="single"/>
        </w:rPr>
      </w:pPr>
      <w:r w:rsidRPr="0012575E">
        <w:rPr>
          <w:b/>
          <w:sz w:val="22"/>
          <w:szCs w:val="22"/>
          <w:u w:val="single"/>
        </w:rPr>
        <w:t xml:space="preserve">SEXTA.- EFECTOS DE LA DECLARACION </w:t>
      </w:r>
      <w:r w:rsidRPr="0012575E">
        <w:rPr>
          <w:b/>
          <w:bCs/>
          <w:sz w:val="22"/>
          <w:szCs w:val="22"/>
          <w:u w:val="single"/>
        </w:rPr>
        <w:t xml:space="preserve">DE </w:t>
      </w:r>
      <w:r w:rsidR="0012575E" w:rsidRPr="0012575E">
        <w:rPr>
          <w:b/>
          <w:sz w:val="22"/>
          <w:szCs w:val="22"/>
          <w:u w:val="single"/>
        </w:rPr>
        <w:t>UNA FECH</w:t>
      </w:r>
      <w:r w:rsidRPr="0012575E">
        <w:rPr>
          <w:b/>
          <w:sz w:val="22"/>
          <w:szCs w:val="22"/>
          <w:u w:val="single"/>
        </w:rPr>
        <w:t xml:space="preserve">A </w:t>
      </w:r>
      <w:r w:rsidRPr="0012575E">
        <w:rPr>
          <w:b/>
          <w:bCs/>
          <w:sz w:val="22"/>
          <w:szCs w:val="22"/>
          <w:u w:val="single"/>
        </w:rPr>
        <w:t xml:space="preserve">DE </w:t>
      </w:r>
      <w:r w:rsidR="00473E77">
        <w:rPr>
          <w:b/>
          <w:sz w:val="22"/>
          <w:szCs w:val="22"/>
          <w:u w:val="single"/>
        </w:rPr>
        <w:t>VENCIIMENTO ANTI</w:t>
      </w:r>
      <w:r w:rsidRPr="0012575E">
        <w:rPr>
          <w:b/>
          <w:sz w:val="22"/>
          <w:szCs w:val="22"/>
          <w:u w:val="single"/>
        </w:rPr>
        <w:t>CI</w:t>
      </w:r>
      <w:r w:rsidR="0012575E" w:rsidRPr="0012575E">
        <w:rPr>
          <w:b/>
          <w:sz w:val="22"/>
          <w:szCs w:val="22"/>
          <w:u w:val="single"/>
        </w:rPr>
        <w:t>P</w:t>
      </w:r>
      <w:r w:rsidRPr="0012575E">
        <w:rPr>
          <w:b/>
          <w:sz w:val="20"/>
          <w:szCs w:val="20"/>
          <w:u w:val="single"/>
        </w:rPr>
        <w:t xml:space="preserve">ADO. </w:t>
      </w:r>
    </w:p>
    <w:p w14:paraId="7DA486DD" w14:textId="77777777" w:rsidR="00397C18" w:rsidRDefault="007D2874" w:rsidP="00183DF3">
      <w:pPr>
        <w:pStyle w:val="CM26"/>
        <w:spacing w:line="258" w:lineRule="atLeast"/>
        <w:jc w:val="both"/>
        <w:rPr>
          <w:sz w:val="22"/>
          <w:szCs w:val="22"/>
        </w:rPr>
      </w:pPr>
      <w:r>
        <w:rPr>
          <w:sz w:val="22"/>
          <w:szCs w:val="22"/>
        </w:rPr>
        <w:t>En el caso de que se señalara una Fecha de Vencimiento Anticipado a consecuencia de una Causa de Vencimiento Anticipado por Circunstancias Imputables a una de las Partes, de acuerdo co</w:t>
      </w:r>
      <w:r w:rsidR="00473E77">
        <w:rPr>
          <w:sz w:val="22"/>
          <w:szCs w:val="22"/>
        </w:rPr>
        <w:t>n la Estipulación Novena del CMO</w:t>
      </w:r>
      <w:r>
        <w:rPr>
          <w:sz w:val="22"/>
          <w:szCs w:val="22"/>
        </w:rPr>
        <w:t xml:space="preserve">F, el Contravalor en Euros del Valor del Balance en Garantía, calculado tomando como Fecha de Valoración la Fecha de Vencimiento Anticipado, en su condición de garantía a favor de Cesionario, se considerará como Importe Impagado debido por éste al Cedente, con independencia de que éste sea o no la Parte incumplidora. </w:t>
      </w:r>
    </w:p>
    <w:p w14:paraId="2BD6C106" w14:textId="77777777" w:rsidR="00EB770D" w:rsidRDefault="00EB770D" w:rsidP="00183DF3">
      <w:pPr>
        <w:pStyle w:val="CM24"/>
        <w:jc w:val="both"/>
        <w:rPr>
          <w:b/>
          <w:bCs/>
          <w:sz w:val="20"/>
          <w:szCs w:val="20"/>
          <w:u w:val="single"/>
        </w:rPr>
      </w:pPr>
    </w:p>
    <w:p w14:paraId="68B7DD04" w14:textId="77777777" w:rsidR="00EB770D" w:rsidRDefault="00EB770D" w:rsidP="00183DF3">
      <w:pPr>
        <w:pStyle w:val="CM24"/>
        <w:jc w:val="both"/>
        <w:rPr>
          <w:b/>
          <w:bCs/>
          <w:sz w:val="20"/>
          <w:szCs w:val="20"/>
          <w:u w:val="single"/>
        </w:rPr>
      </w:pPr>
    </w:p>
    <w:p w14:paraId="70A6DA7C" w14:textId="77777777" w:rsidR="00397C18" w:rsidRPr="0012575E" w:rsidRDefault="00397C18" w:rsidP="00183DF3">
      <w:pPr>
        <w:pStyle w:val="CM24"/>
        <w:jc w:val="both"/>
        <w:rPr>
          <w:sz w:val="20"/>
          <w:szCs w:val="20"/>
          <w:u w:val="single"/>
        </w:rPr>
      </w:pPr>
      <w:r w:rsidRPr="0012575E">
        <w:rPr>
          <w:b/>
          <w:bCs/>
          <w:sz w:val="20"/>
          <w:szCs w:val="20"/>
          <w:u w:val="single"/>
        </w:rPr>
        <w:lastRenderedPageBreak/>
        <w:t xml:space="preserve">SEPT1MA.- GENERAL. </w:t>
      </w:r>
    </w:p>
    <w:p w14:paraId="4C18C6CD" w14:textId="77777777" w:rsidR="00397C18" w:rsidRPr="0012575E" w:rsidRDefault="00397C18" w:rsidP="00183DF3">
      <w:pPr>
        <w:pStyle w:val="CM24"/>
        <w:jc w:val="both"/>
        <w:rPr>
          <w:b/>
          <w:sz w:val="20"/>
          <w:szCs w:val="20"/>
        </w:rPr>
      </w:pPr>
      <w:r w:rsidRPr="0012575E">
        <w:rPr>
          <w:b/>
          <w:sz w:val="20"/>
          <w:szCs w:val="20"/>
        </w:rPr>
        <w:t>7.1.</w:t>
      </w:r>
      <w:r w:rsidRPr="0012575E">
        <w:rPr>
          <w:b/>
          <w:sz w:val="20"/>
          <w:szCs w:val="20"/>
        </w:rPr>
        <w:tab/>
      </w:r>
      <w:r w:rsidR="007D2874" w:rsidRPr="0012575E">
        <w:rPr>
          <w:b/>
          <w:bCs/>
          <w:sz w:val="20"/>
          <w:szCs w:val="20"/>
        </w:rPr>
        <w:t>Declaración</w:t>
      </w:r>
      <w:r w:rsidRPr="0012575E">
        <w:rPr>
          <w:b/>
          <w:bCs/>
          <w:sz w:val="20"/>
          <w:szCs w:val="20"/>
        </w:rPr>
        <w:t xml:space="preserve"> </w:t>
      </w:r>
      <w:r w:rsidR="007D2874" w:rsidRPr="0012575E">
        <w:rPr>
          <w:b/>
          <w:bCs/>
          <w:sz w:val="20"/>
          <w:szCs w:val="20"/>
        </w:rPr>
        <w:t>Adicional</w:t>
      </w:r>
      <w:r w:rsidRPr="0012575E">
        <w:rPr>
          <w:b/>
          <w:bCs/>
          <w:sz w:val="20"/>
          <w:szCs w:val="20"/>
        </w:rPr>
        <w:t xml:space="preserve">. </w:t>
      </w:r>
    </w:p>
    <w:p w14:paraId="6D8F74C5" w14:textId="77777777" w:rsidR="00397C18" w:rsidRDefault="00397C18" w:rsidP="00473E77">
      <w:pPr>
        <w:pStyle w:val="CM24"/>
        <w:spacing w:line="256" w:lineRule="atLeast"/>
        <w:ind w:left="713"/>
        <w:jc w:val="both"/>
      </w:pPr>
      <w:r>
        <w:rPr>
          <w:sz w:val="22"/>
          <w:szCs w:val="22"/>
        </w:rPr>
        <w:t>Cada una de las Partes manifiesta (y se entenderá repetida esta manifestación en cada una de las fechas en que tenga lugar una Cesión de Colateral, Colateral Equivalente o Rendimientos Fungibles) que tiene pleno dominio y derecho a transmitir en forma de Cesión el Colateral, Colateral Equivalente o Rendimientos Fungibles a la otra Parte, libres de cargas, retenciones, intereses y gravámenes o cualquier otra restricción (salvo los derechos de retención impuestos por el correspondiente sistema de compensación)</w:t>
      </w:r>
      <w:r w:rsidR="00473E77">
        <w:rPr>
          <w:sz w:val="22"/>
          <w:szCs w:val="22"/>
        </w:rPr>
        <w:t>.</w:t>
      </w:r>
    </w:p>
    <w:p w14:paraId="337FA2A7" w14:textId="77777777" w:rsidR="00397C18" w:rsidRPr="0012575E" w:rsidRDefault="00397C18" w:rsidP="00183DF3">
      <w:pPr>
        <w:pStyle w:val="CM24"/>
        <w:spacing w:line="258" w:lineRule="atLeast"/>
        <w:jc w:val="both"/>
        <w:rPr>
          <w:b/>
          <w:sz w:val="22"/>
          <w:szCs w:val="22"/>
        </w:rPr>
      </w:pPr>
      <w:r w:rsidRPr="0012575E">
        <w:rPr>
          <w:b/>
          <w:sz w:val="22"/>
          <w:szCs w:val="22"/>
        </w:rPr>
        <w:t>7.2.</w:t>
      </w:r>
      <w:r w:rsidRPr="0012575E">
        <w:rPr>
          <w:b/>
          <w:sz w:val="22"/>
          <w:szCs w:val="22"/>
        </w:rPr>
        <w:tab/>
      </w:r>
      <w:r w:rsidRPr="0012575E">
        <w:rPr>
          <w:b/>
          <w:bCs/>
          <w:sz w:val="22"/>
          <w:szCs w:val="22"/>
        </w:rPr>
        <w:t xml:space="preserve">Gastos </w:t>
      </w:r>
    </w:p>
    <w:p w14:paraId="428FA886" w14:textId="77777777" w:rsidR="00397C18" w:rsidRDefault="00397C18" w:rsidP="00183DF3">
      <w:pPr>
        <w:pStyle w:val="CM6"/>
        <w:ind w:left="713"/>
        <w:jc w:val="both"/>
        <w:rPr>
          <w:sz w:val="20"/>
          <w:szCs w:val="20"/>
        </w:rPr>
      </w:pPr>
      <w:r>
        <w:rPr>
          <w:sz w:val="22"/>
          <w:szCs w:val="22"/>
        </w:rPr>
        <w:t xml:space="preserve">Cada una de las Partes correrá a cargo de los costes y gastos en que incurra (incluyendo todo tipo de impuestos, tasas y arbitrios devengados con motivo de las Cesiones) en cumplimiento de las obligaciones contenidas en este Anexo </w:t>
      </w:r>
      <w:r>
        <w:rPr>
          <w:sz w:val="20"/>
          <w:szCs w:val="20"/>
        </w:rPr>
        <w:t xml:space="preserve">III. </w:t>
      </w:r>
    </w:p>
    <w:p w14:paraId="1C40FDF0" w14:textId="77777777" w:rsidR="00397C18" w:rsidRDefault="00397C18" w:rsidP="00183DF3">
      <w:pPr>
        <w:pStyle w:val="CM1"/>
        <w:jc w:val="both"/>
        <w:rPr>
          <w:sz w:val="22"/>
          <w:szCs w:val="22"/>
        </w:rPr>
        <w:sectPr w:rsidR="00397C18" w:rsidSect="00183DF3">
          <w:type w:val="continuous"/>
          <w:pgSz w:w="11900" w:h="16800"/>
          <w:pgMar w:top="1588" w:right="1701" w:bottom="1418" w:left="1644" w:header="720" w:footer="720" w:gutter="0"/>
          <w:cols w:space="720"/>
          <w:noEndnote/>
        </w:sectPr>
      </w:pPr>
    </w:p>
    <w:p w14:paraId="045AB130" w14:textId="77777777" w:rsidR="00397C18" w:rsidRDefault="00397C18" w:rsidP="00183DF3">
      <w:pPr>
        <w:pStyle w:val="Default"/>
        <w:jc w:val="both"/>
        <w:rPr>
          <w:color w:val="auto"/>
        </w:rPr>
      </w:pPr>
    </w:p>
    <w:p w14:paraId="264C3F7A" w14:textId="77777777" w:rsidR="0012575E" w:rsidRPr="00F514D7" w:rsidRDefault="00A949C6" w:rsidP="00183DF3">
      <w:pPr>
        <w:pStyle w:val="CM28"/>
        <w:spacing w:line="256" w:lineRule="atLeast"/>
        <w:jc w:val="both"/>
        <w:rPr>
          <w:bCs/>
          <w:sz w:val="22"/>
          <w:szCs w:val="22"/>
        </w:rPr>
      </w:pPr>
      <w:r>
        <w:rPr>
          <w:bCs/>
          <w:sz w:val="22"/>
          <w:szCs w:val="22"/>
        </w:rPr>
        <w:t>[</w:t>
      </w:r>
      <w:r w:rsidR="00F514D7" w:rsidRPr="00F514D7">
        <w:rPr>
          <w:bCs/>
          <w:sz w:val="22"/>
          <w:szCs w:val="22"/>
        </w:rPr>
        <w:t xml:space="preserve">En prueba </w:t>
      </w:r>
      <w:r w:rsidR="00F514D7">
        <w:rPr>
          <w:bCs/>
          <w:sz w:val="22"/>
          <w:szCs w:val="22"/>
        </w:rPr>
        <w:t xml:space="preserve">de conformidad, las Partes firman el presente Anexo III al Contrato Marco, por duplicado ejemplar, en el lugar y fecha indicados en el encabezamiento </w:t>
      </w:r>
      <w:r w:rsidR="00C723CB">
        <w:rPr>
          <w:bCs/>
          <w:sz w:val="22"/>
          <w:szCs w:val="22"/>
        </w:rPr>
        <w:t>de</w:t>
      </w:r>
      <w:r w:rsidR="00F514D7">
        <w:rPr>
          <w:bCs/>
          <w:sz w:val="22"/>
          <w:szCs w:val="22"/>
        </w:rPr>
        <w:t>l presente Anexo.</w:t>
      </w:r>
      <w:r>
        <w:rPr>
          <w:bCs/>
          <w:sz w:val="22"/>
          <w:szCs w:val="22"/>
        </w:rPr>
        <w:t>]</w:t>
      </w:r>
    </w:p>
    <w:p w14:paraId="562BF845" w14:textId="77777777" w:rsidR="0012575E" w:rsidRDefault="0012575E" w:rsidP="00183DF3">
      <w:pPr>
        <w:pStyle w:val="CM28"/>
        <w:spacing w:line="256" w:lineRule="atLeast"/>
        <w:jc w:val="both"/>
        <w:rPr>
          <w:b/>
          <w:bCs/>
          <w:sz w:val="22"/>
          <w:szCs w:val="22"/>
        </w:rPr>
      </w:pPr>
    </w:p>
    <w:p w14:paraId="6FE05DCF" w14:textId="77777777" w:rsidR="00473E77" w:rsidRDefault="00F514D7" w:rsidP="00473E77">
      <w:pPr>
        <w:pStyle w:val="Default"/>
      </w:pPr>
      <w:r>
        <w:br w:type="page"/>
      </w:r>
    </w:p>
    <w:p w14:paraId="0D7BB9E0" w14:textId="77777777" w:rsidR="00473E77" w:rsidRPr="00473E77" w:rsidRDefault="00473E77" w:rsidP="00473E77">
      <w:pPr>
        <w:pStyle w:val="Default"/>
      </w:pPr>
    </w:p>
    <w:p w14:paraId="5E967A99" w14:textId="77777777" w:rsidR="0012575E" w:rsidRDefault="0012575E" w:rsidP="0012575E">
      <w:pPr>
        <w:pStyle w:val="CM28"/>
        <w:spacing w:after="0"/>
        <w:jc w:val="both"/>
        <w:rPr>
          <w:b/>
          <w:bCs/>
          <w:sz w:val="22"/>
          <w:szCs w:val="22"/>
        </w:rPr>
      </w:pPr>
    </w:p>
    <w:p w14:paraId="4DEA3093" w14:textId="77777777" w:rsidR="0012575E" w:rsidRDefault="00E10991" w:rsidP="00E10991">
      <w:pPr>
        <w:pStyle w:val="CM28"/>
        <w:spacing w:after="0"/>
        <w:jc w:val="center"/>
        <w:rPr>
          <w:b/>
          <w:bCs/>
          <w:sz w:val="22"/>
          <w:szCs w:val="22"/>
        </w:rPr>
      </w:pPr>
      <w:r>
        <w:rPr>
          <w:b/>
          <w:bCs/>
          <w:sz w:val="22"/>
          <w:szCs w:val="22"/>
        </w:rPr>
        <w:t>ESTIPULACIÓN ADICIONAL</w:t>
      </w:r>
    </w:p>
    <w:p w14:paraId="2C564DF2" w14:textId="77777777" w:rsidR="00E10991" w:rsidRDefault="00397C18" w:rsidP="00E10991">
      <w:pPr>
        <w:pStyle w:val="CM24"/>
        <w:spacing w:line="256" w:lineRule="atLeast"/>
        <w:jc w:val="center"/>
      </w:pPr>
      <w:r>
        <w:rPr>
          <w:b/>
          <w:bCs/>
          <w:sz w:val="22"/>
          <w:szCs w:val="22"/>
        </w:rPr>
        <w:t>AL ANEXO III DEL</w:t>
      </w:r>
      <w:r>
        <w:rPr>
          <w:b/>
          <w:bCs/>
          <w:sz w:val="22"/>
          <w:szCs w:val="22"/>
        </w:rPr>
        <w:br/>
        <w:t>CONTRATO MARCO DE OPERACIONES FINANCIERAS</w:t>
      </w:r>
      <w:r>
        <w:rPr>
          <w:b/>
          <w:bCs/>
          <w:sz w:val="22"/>
          <w:szCs w:val="22"/>
        </w:rPr>
        <w:br/>
        <w:t>entre</w:t>
      </w:r>
      <w:r>
        <w:rPr>
          <w:b/>
          <w:bCs/>
          <w:sz w:val="22"/>
          <w:szCs w:val="22"/>
        </w:rPr>
        <w:br/>
      </w:r>
      <w:r w:rsidR="00E10991">
        <w:rPr>
          <w:b/>
          <w:bCs/>
        </w:rPr>
        <w:t xml:space="preserve">[    ] </w:t>
      </w:r>
      <w:r w:rsidR="00E10991">
        <w:rPr>
          <w:bCs/>
        </w:rPr>
        <w:t xml:space="preserve">y </w:t>
      </w:r>
      <w:r w:rsidR="00E10991">
        <w:rPr>
          <w:b/>
          <w:bCs/>
        </w:rPr>
        <w:t>[    ]</w:t>
      </w:r>
    </w:p>
    <w:p w14:paraId="05F90EE4" w14:textId="77777777" w:rsidR="00E10991" w:rsidRPr="00E10991" w:rsidRDefault="00E10991" w:rsidP="00E10991">
      <w:pPr>
        <w:pStyle w:val="CM24"/>
        <w:spacing w:line="256" w:lineRule="atLeast"/>
        <w:jc w:val="center"/>
      </w:pPr>
    </w:p>
    <w:p w14:paraId="3EBCE95D" w14:textId="77777777" w:rsidR="00397C18" w:rsidRDefault="00397C18" w:rsidP="00E10991">
      <w:pPr>
        <w:pStyle w:val="CM28"/>
        <w:spacing w:after="0"/>
        <w:jc w:val="center"/>
        <w:rPr>
          <w:sz w:val="22"/>
          <w:szCs w:val="22"/>
        </w:rPr>
      </w:pPr>
    </w:p>
    <w:p w14:paraId="705178E3" w14:textId="77777777" w:rsidR="00397C18" w:rsidRDefault="00397C18" w:rsidP="00183DF3">
      <w:pPr>
        <w:pStyle w:val="CM1"/>
        <w:jc w:val="both"/>
        <w:rPr>
          <w:sz w:val="22"/>
          <w:szCs w:val="22"/>
        </w:rPr>
      </w:pPr>
    </w:p>
    <w:p w14:paraId="00979015" w14:textId="77777777" w:rsidR="00397C18" w:rsidRDefault="00397C18" w:rsidP="00183DF3">
      <w:pPr>
        <w:pStyle w:val="CM24"/>
        <w:spacing w:line="256" w:lineRule="atLeast"/>
        <w:jc w:val="both"/>
        <w:rPr>
          <w:sz w:val="22"/>
          <w:szCs w:val="22"/>
        </w:rPr>
      </w:pPr>
      <w:r w:rsidRPr="00E10991">
        <w:rPr>
          <w:b/>
          <w:i/>
          <w:iCs/>
          <w:sz w:val="22"/>
          <w:szCs w:val="22"/>
        </w:rPr>
        <w:t>(a)</w:t>
      </w:r>
      <w:r>
        <w:rPr>
          <w:i/>
          <w:iCs/>
          <w:sz w:val="22"/>
          <w:szCs w:val="22"/>
        </w:rPr>
        <w:t xml:space="preserve"> </w:t>
      </w:r>
      <w:r w:rsidRPr="00E10991">
        <w:rPr>
          <w:b/>
          <w:i/>
          <w:iCs/>
          <w:sz w:val="22"/>
          <w:szCs w:val="22"/>
        </w:rPr>
        <w:t>"Divisa Admitida"</w:t>
      </w:r>
      <w:r>
        <w:rPr>
          <w:i/>
          <w:iCs/>
          <w:sz w:val="22"/>
          <w:szCs w:val="22"/>
        </w:rPr>
        <w:t xml:space="preserve"> </w:t>
      </w:r>
      <w:r>
        <w:rPr>
          <w:sz w:val="22"/>
          <w:szCs w:val="22"/>
        </w:rPr>
        <w:t>significa: [</w:t>
      </w:r>
      <w:r w:rsidR="00E10991">
        <w:rPr>
          <w:sz w:val="22"/>
          <w:szCs w:val="22"/>
        </w:rPr>
        <w:t xml:space="preserve">            </w:t>
      </w:r>
      <w:r w:rsidR="00E10991" w:rsidRPr="00473E77">
        <w:rPr>
          <w:bCs/>
        </w:rPr>
        <w:t>]</w:t>
      </w:r>
    </w:p>
    <w:p w14:paraId="517F3398" w14:textId="77777777" w:rsidR="00397C18" w:rsidRDefault="00397C18" w:rsidP="00183DF3">
      <w:pPr>
        <w:pStyle w:val="CM29"/>
        <w:spacing w:line="256" w:lineRule="atLeast"/>
        <w:jc w:val="both"/>
        <w:rPr>
          <w:sz w:val="22"/>
          <w:szCs w:val="22"/>
        </w:rPr>
      </w:pPr>
      <w:r w:rsidRPr="00E10991">
        <w:rPr>
          <w:b/>
          <w:i/>
          <w:iCs/>
          <w:sz w:val="22"/>
          <w:szCs w:val="22"/>
        </w:rPr>
        <w:t>(b) "Colateral"</w:t>
      </w:r>
      <w:r w:rsidR="007D2874">
        <w:rPr>
          <w:i/>
          <w:iCs/>
          <w:sz w:val="22"/>
          <w:szCs w:val="22"/>
        </w:rPr>
        <w:t xml:space="preserve"> </w:t>
      </w:r>
      <w:r>
        <w:rPr>
          <w:i/>
          <w:iCs/>
          <w:sz w:val="22"/>
          <w:szCs w:val="22"/>
        </w:rPr>
        <w:t xml:space="preserve">significa </w:t>
      </w:r>
      <w:r>
        <w:rPr>
          <w:sz w:val="22"/>
          <w:szCs w:val="22"/>
        </w:rPr>
        <w:t xml:space="preserve">para cada una de las Partes: </w:t>
      </w:r>
    </w:p>
    <w:tbl>
      <w:tblPr>
        <w:tblW w:w="8375" w:type="dxa"/>
        <w:tblLook w:val="0000" w:firstRow="0" w:lastRow="0" w:firstColumn="0" w:lastColumn="0" w:noHBand="0" w:noVBand="0"/>
      </w:tblPr>
      <w:tblGrid>
        <w:gridCol w:w="4008"/>
        <w:gridCol w:w="1417"/>
        <w:gridCol w:w="252"/>
        <w:gridCol w:w="1165"/>
        <w:gridCol w:w="6"/>
        <w:gridCol w:w="1521"/>
        <w:gridCol w:w="6"/>
      </w:tblGrid>
      <w:tr w:rsidR="00397C18" w:rsidRPr="002D181B" w14:paraId="1724C8F7" w14:textId="77777777" w:rsidTr="00473E77">
        <w:tblPrEx>
          <w:tblCellMar>
            <w:top w:w="0" w:type="dxa"/>
            <w:bottom w:w="0" w:type="dxa"/>
          </w:tblCellMar>
        </w:tblPrEx>
        <w:trPr>
          <w:gridAfter w:val="1"/>
          <w:wAfter w:w="6" w:type="dxa"/>
          <w:trHeight w:val="245"/>
        </w:trPr>
        <w:tc>
          <w:tcPr>
            <w:tcW w:w="4008" w:type="dxa"/>
            <w:tcBorders>
              <w:top w:val="single" w:sz="4" w:space="0" w:color="auto"/>
              <w:left w:val="single" w:sz="4" w:space="0" w:color="auto"/>
              <w:bottom w:val="single" w:sz="4" w:space="0" w:color="auto"/>
              <w:right w:val="single" w:sz="4" w:space="0" w:color="auto"/>
            </w:tcBorders>
          </w:tcPr>
          <w:p w14:paraId="17EB3061" w14:textId="77777777" w:rsidR="00397C18" w:rsidRPr="002D181B" w:rsidRDefault="00397C18" w:rsidP="00183DF3">
            <w:pPr>
              <w:pStyle w:val="Default"/>
              <w:jc w:val="both"/>
              <w:rPr>
                <w:b/>
                <w:sz w:val="22"/>
                <w:szCs w:val="22"/>
              </w:rPr>
            </w:pPr>
            <w:r w:rsidRPr="002D181B">
              <w:rPr>
                <w:b/>
                <w:sz w:val="22"/>
                <w:szCs w:val="22"/>
              </w:rPr>
              <w:t xml:space="preserve">COLATERAL </w:t>
            </w:r>
          </w:p>
        </w:tc>
        <w:tc>
          <w:tcPr>
            <w:tcW w:w="1417" w:type="dxa"/>
            <w:tcBorders>
              <w:top w:val="single" w:sz="4" w:space="0" w:color="auto"/>
              <w:left w:val="single" w:sz="4" w:space="0" w:color="auto"/>
              <w:bottom w:val="single" w:sz="4" w:space="0" w:color="auto"/>
              <w:right w:val="single" w:sz="4" w:space="0" w:color="auto"/>
            </w:tcBorders>
          </w:tcPr>
          <w:p w14:paraId="34ABB63B" w14:textId="77777777" w:rsidR="00397C18" w:rsidRPr="002D181B" w:rsidRDefault="00397C18" w:rsidP="00473E77">
            <w:pPr>
              <w:pStyle w:val="Default"/>
              <w:jc w:val="center"/>
              <w:rPr>
                <w:b/>
                <w:sz w:val="22"/>
                <w:szCs w:val="22"/>
              </w:rPr>
            </w:pPr>
            <w:r w:rsidRPr="002D181B">
              <w:rPr>
                <w:b/>
                <w:sz w:val="22"/>
                <w:szCs w:val="22"/>
              </w:rPr>
              <w:t>PARTE A</w:t>
            </w:r>
          </w:p>
        </w:tc>
        <w:tc>
          <w:tcPr>
            <w:tcW w:w="1417" w:type="dxa"/>
            <w:gridSpan w:val="2"/>
            <w:tcBorders>
              <w:top w:val="single" w:sz="4" w:space="0" w:color="auto"/>
              <w:left w:val="single" w:sz="4" w:space="0" w:color="auto"/>
              <w:bottom w:val="single" w:sz="4" w:space="0" w:color="auto"/>
              <w:right w:val="single" w:sz="4" w:space="0" w:color="auto"/>
            </w:tcBorders>
          </w:tcPr>
          <w:p w14:paraId="3A7AC9BB" w14:textId="77777777" w:rsidR="00397C18" w:rsidRPr="002D181B" w:rsidRDefault="00397C18" w:rsidP="00473E77">
            <w:pPr>
              <w:pStyle w:val="Default"/>
              <w:jc w:val="center"/>
              <w:rPr>
                <w:b/>
                <w:sz w:val="22"/>
                <w:szCs w:val="22"/>
              </w:rPr>
            </w:pPr>
            <w:r w:rsidRPr="002D181B">
              <w:rPr>
                <w:b/>
                <w:sz w:val="22"/>
                <w:szCs w:val="22"/>
              </w:rPr>
              <w:t>PARTE B</w:t>
            </w:r>
          </w:p>
        </w:tc>
        <w:tc>
          <w:tcPr>
            <w:tcW w:w="1527" w:type="dxa"/>
            <w:gridSpan w:val="2"/>
            <w:tcBorders>
              <w:top w:val="single" w:sz="4" w:space="0" w:color="auto"/>
              <w:left w:val="single" w:sz="4" w:space="0" w:color="auto"/>
              <w:bottom w:val="single" w:sz="4" w:space="0" w:color="auto"/>
              <w:right w:val="single" w:sz="4" w:space="0" w:color="auto"/>
            </w:tcBorders>
          </w:tcPr>
          <w:p w14:paraId="1399CBAD" w14:textId="77777777" w:rsidR="00E10991" w:rsidRPr="002D181B" w:rsidRDefault="007D2874" w:rsidP="00E10991">
            <w:pPr>
              <w:pStyle w:val="Default"/>
              <w:jc w:val="center"/>
              <w:rPr>
                <w:b/>
                <w:sz w:val="20"/>
                <w:szCs w:val="20"/>
              </w:rPr>
            </w:pPr>
            <w:r w:rsidRPr="002D181B">
              <w:rPr>
                <w:b/>
                <w:sz w:val="20"/>
                <w:szCs w:val="20"/>
              </w:rPr>
              <w:t>Porcentaje</w:t>
            </w:r>
          </w:p>
          <w:p w14:paraId="0E275CEE" w14:textId="77777777" w:rsidR="00397C18" w:rsidRPr="002D181B" w:rsidRDefault="00E10991" w:rsidP="00E10991">
            <w:pPr>
              <w:pStyle w:val="Default"/>
              <w:jc w:val="center"/>
              <w:rPr>
                <w:sz w:val="20"/>
                <w:szCs w:val="20"/>
              </w:rPr>
            </w:pPr>
            <w:r w:rsidRPr="002D181B">
              <w:rPr>
                <w:b/>
                <w:bCs/>
                <w:sz w:val="20"/>
                <w:szCs w:val="20"/>
              </w:rPr>
              <w:t xml:space="preserve">de </w:t>
            </w:r>
            <w:r w:rsidRPr="002D181B">
              <w:rPr>
                <w:b/>
                <w:sz w:val="20"/>
                <w:szCs w:val="20"/>
              </w:rPr>
              <w:t>Valoración</w:t>
            </w:r>
          </w:p>
        </w:tc>
      </w:tr>
      <w:tr w:rsidR="00397C18" w:rsidRPr="002D181B" w14:paraId="52A8A247" w14:textId="77777777" w:rsidTr="00473E77">
        <w:tblPrEx>
          <w:tblCellMar>
            <w:top w:w="0" w:type="dxa"/>
            <w:bottom w:w="0" w:type="dxa"/>
          </w:tblCellMar>
        </w:tblPrEx>
        <w:trPr>
          <w:gridAfter w:val="1"/>
          <w:wAfter w:w="6" w:type="dxa"/>
          <w:trHeight w:val="225"/>
        </w:trPr>
        <w:tc>
          <w:tcPr>
            <w:tcW w:w="4008" w:type="dxa"/>
            <w:tcBorders>
              <w:top w:val="single" w:sz="4" w:space="0" w:color="auto"/>
              <w:left w:val="single" w:sz="4" w:space="0" w:color="auto"/>
              <w:bottom w:val="single" w:sz="4" w:space="0" w:color="auto"/>
              <w:right w:val="single" w:sz="4" w:space="0" w:color="auto"/>
            </w:tcBorders>
          </w:tcPr>
          <w:p w14:paraId="793E6F8A" w14:textId="77777777" w:rsidR="00397C18" w:rsidRPr="002D181B" w:rsidRDefault="00E10991" w:rsidP="00E10991">
            <w:pPr>
              <w:pStyle w:val="Default"/>
              <w:jc w:val="both"/>
              <w:rPr>
                <w:color w:val="auto"/>
              </w:rPr>
            </w:pPr>
            <w:r w:rsidRPr="002D181B">
              <w:rPr>
                <w:sz w:val="22"/>
                <w:szCs w:val="22"/>
              </w:rPr>
              <w:t xml:space="preserve">(A) Efectivo en una Divisa Admitida </w:t>
            </w:r>
          </w:p>
        </w:tc>
        <w:tc>
          <w:tcPr>
            <w:tcW w:w="1417" w:type="dxa"/>
            <w:tcBorders>
              <w:top w:val="single" w:sz="4" w:space="0" w:color="auto"/>
              <w:left w:val="single" w:sz="4" w:space="0" w:color="auto"/>
              <w:bottom w:val="single" w:sz="4" w:space="0" w:color="auto"/>
              <w:right w:val="single" w:sz="4" w:space="0" w:color="auto"/>
            </w:tcBorders>
          </w:tcPr>
          <w:p w14:paraId="6B49E9BB" w14:textId="77777777" w:rsidR="00397C18" w:rsidRPr="002D181B" w:rsidRDefault="00397C18"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0D989AA8" w14:textId="77777777" w:rsidR="00397C18" w:rsidRPr="002D181B" w:rsidRDefault="00397C18"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vAlign w:val="center"/>
          </w:tcPr>
          <w:p w14:paraId="3271CBEA" w14:textId="77777777" w:rsidR="00397C18" w:rsidRPr="002D181B" w:rsidRDefault="00E10991" w:rsidP="00183DF3">
            <w:pPr>
              <w:pStyle w:val="Default"/>
              <w:jc w:val="both"/>
              <w:rPr>
                <w:sz w:val="20"/>
                <w:szCs w:val="20"/>
              </w:rPr>
            </w:pPr>
            <w:r w:rsidRPr="002D181B">
              <w:rPr>
                <w:sz w:val="22"/>
                <w:szCs w:val="22"/>
              </w:rPr>
              <w:t>[....]%</w:t>
            </w:r>
          </w:p>
        </w:tc>
      </w:tr>
      <w:tr w:rsidR="00397C18" w:rsidRPr="002D181B" w14:paraId="3A622959" w14:textId="77777777" w:rsidTr="00473E77">
        <w:tblPrEx>
          <w:tblCellMar>
            <w:top w:w="0" w:type="dxa"/>
            <w:bottom w:w="0" w:type="dxa"/>
          </w:tblCellMar>
        </w:tblPrEx>
        <w:trPr>
          <w:gridAfter w:val="1"/>
          <w:wAfter w:w="6" w:type="dxa"/>
          <w:trHeight w:val="790"/>
        </w:trPr>
        <w:tc>
          <w:tcPr>
            <w:tcW w:w="4008" w:type="dxa"/>
            <w:tcBorders>
              <w:top w:val="single" w:sz="4" w:space="0" w:color="auto"/>
              <w:left w:val="single" w:sz="4" w:space="0" w:color="auto"/>
              <w:bottom w:val="single" w:sz="4" w:space="0" w:color="auto"/>
              <w:right w:val="single" w:sz="4" w:space="0" w:color="auto"/>
            </w:tcBorders>
          </w:tcPr>
          <w:p w14:paraId="2A666891" w14:textId="77777777" w:rsidR="00397C18" w:rsidRPr="002D181B" w:rsidRDefault="00397C18" w:rsidP="00E10991">
            <w:pPr>
              <w:pStyle w:val="Default"/>
              <w:jc w:val="both"/>
              <w:rPr>
                <w:sz w:val="22"/>
                <w:szCs w:val="22"/>
              </w:rPr>
            </w:pPr>
            <w:r w:rsidRPr="002D181B">
              <w:rPr>
                <w:sz w:val="22"/>
                <w:szCs w:val="22"/>
              </w:rPr>
              <w:t xml:space="preserve">(B) Títulos de Deuda Pública negociables emitidos por el </w:t>
            </w:r>
            <w:r w:rsidR="007D2874" w:rsidRPr="002D181B">
              <w:rPr>
                <w:sz w:val="22"/>
                <w:szCs w:val="22"/>
              </w:rPr>
              <w:t>Gobierno</w:t>
            </w:r>
            <w:r w:rsidRPr="002D181B">
              <w:rPr>
                <w:sz w:val="22"/>
                <w:szCs w:val="22"/>
              </w:rPr>
              <w:t xml:space="preserve"> de [ ]</w:t>
            </w:r>
            <w:r w:rsidRPr="002D181B">
              <w:rPr>
                <w:sz w:val="22"/>
                <w:szCs w:val="22"/>
              </w:rPr>
              <w:tab/>
              <w:t xml:space="preserve">[con </w:t>
            </w:r>
            <w:r w:rsidR="00E10991" w:rsidRPr="002D181B">
              <w:rPr>
                <w:sz w:val="22"/>
                <w:szCs w:val="22"/>
              </w:rPr>
              <w:t>vencimiento original en la fecha de emisión de no más de un año / con vencimiento en el plazo de no más de un año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35C6564C" w14:textId="77777777" w:rsidR="00397C18" w:rsidRPr="002D181B" w:rsidRDefault="00397C18"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14E9705D" w14:textId="77777777" w:rsidR="00397C18" w:rsidRPr="002D181B" w:rsidRDefault="00397C18"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5A884F97" w14:textId="77777777" w:rsidR="00397C18" w:rsidRPr="002D181B" w:rsidRDefault="00397C18" w:rsidP="00183DF3">
            <w:pPr>
              <w:pStyle w:val="Default"/>
              <w:jc w:val="both"/>
              <w:rPr>
                <w:sz w:val="22"/>
                <w:szCs w:val="22"/>
              </w:rPr>
            </w:pPr>
            <w:r w:rsidRPr="002D181B">
              <w:rPr>
                <w:sz w:val="22"/>
                <w:szCs w:val="22"/>
              </w:rPr>
              <w:t xml:space="preserve">[....]% </w:t>
            </w:r>
          </w:p>
        </w:tc>
      </w:tr>
      <w:tr w:rsidR="002C1A07" w:rsidRPr="002D181B" w14:paraId="5D9FD24B" w14:textId="77777777" w:rsidTr="00473E77">
        <w:tblPrEx>
          <w:tblCellMar>
            <w:top w:w="0" w:type="dxa"/>
            <w:bottom w:w="0" w:type="dxa"/>
          </w:tblCellMar>
        </w:tblPrEx>
        <w:trPr>
          <w:gridAfter w:val="1"/>
          <w:wAfter w:w="6" w:type="dxa"/>
          <w:trHeight w:val="20"/>
        </w:trPr>
        <w:tc>
          <w:tcPr>
            <w:tcW w:w="4008" w:type="dxa"/>
            <w:tcBorders>
              <w:top w:val="single" w:sz="4" w:space="0" w:color="auto"/>
              <w:left w:val="single" w:sz="4" w:space="0" w:color="auto"/>
              <w:bottom w:val="single" w:sz="4" w:space="0" w:color="auto"/>
              <w:right w:val="single" w:sz="4" w:space="0" w:color="auto"/>
            </w:tcBorders>
          </w:tcPr>
          <w:p w14:paraId="62D91ED6" w14:textId="77777777" w:rsidR="002C1A07" w:rsidRPr="002D181B" w:rsidRDefault="002C1A07" w:rsidP="00183DF3">
            <w:pPr>
              <w:pStyle w:val="Default"/>
              <w:jc w:val="both"/>
              <w:rPr>
                <w:sz w:val="22"/>
                <w:szCs w:val="22"/>
              </w:rPr>
            </w:pPr>
            <w:r w:rsidRPr="002D181B">
              <w:rPr>
                <w:sz w:val="22"/>
                <w:szCs w:val="22"/>
              </w:rPr>
              <w:t xml:space="preserve">(C) Títulos de Deuda Pública negociables emitidos por el Gobierno de [ ] [con </w:t>
            </w:r>
            <w:r w:rsidR="00664EE7" w:rsidRPr="002D181B">
              <w:rPr>
                <w:sz w:val="22"/>
                <w:szCs w:val="22"/>
              </w:rPr>
              <w:t>vencimiento</w:t>
            </w:r>
            <w:r w:rsidRPr="002D181B">
              <w:rPr>
                <w:sz w:val="22"/>
                <w:szCs w:val="22"/>
              </w:rPr>
              <w:t xml:space="preserve"> original en la fecha de emisión de más de un año y no superior a diez años/ con vencimiento en el plazo de más de un año desde la Fecha de Valoración, pero inferior a diez años]</w:t>
            </w:r>
          </w:p>
        </w:tc>
        <w:tc>
          <w:tcPr>
            <w:tcW w:w="1417" w:type="dxa"/>
            <w:tcBorders>
              <w:top w:val="single" w:sz="4" w:space="0" w:color="auto"/>
              <w:left w:val="single" w:sz="4" w:space="0" w:color="auto"/>
              <w:bottom w:val="single" w:sz="4" w:space="0" w:color="auto"/>
              <w:right w:val="single" w:sz="4" w:space="0" w:color="auto"/>
            </w:tcBorders>
          </w:tcPr>
          <w:p w14:paraId="3E80D9F9"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70370450"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09AD6F9F" w14:textId="77777777" w:rsidR="002C1A07" w:rsidRPr="002D181B" w:rsidRDefault="002C1A07" w:rsidP="002C1A07">
            <w:pPr>
              <w:pStyle w:val="Default"/>
              <w:rPr>
                <w:sz w:val="22"/>
                <w:szCs w:val="22"/>
              </w:rPr>
            </w:pPr>
            <w:r w:rsidRPr="002D181B">
              <w:rPr>
                <w:sz w:val="22"/>
                <w:szCs w:val="22"/>
              </w:rPr>
              <w:t>[....]%</w:t>
            </w:r>
          </w:p>
        </w:tc>
      </w:tr>
      <w:tr w:rsidR="002C1A07" w:rsidRPr="002D181B" w14:paraId="46BC1778" w14:textId="77777777" w:rsidTr="00473E77">
        <w:tblPrEx>
          <w:tblCellMar>
            <w:top w:w="0" w:type="dxa"/>
            <w:bottom w:w="0" w:type="dxa"/>
          </w:tblCellMar>
        </w:tblPrEx>
        <w:trPr>
          <w:gridAfter w:val="1"/>
          <w:wAfter w:w="6" w:type="dxa"/>
          <w:trHeight w:val="510"/>
        </w:trPr>
        <w:tc>
          <w:tcPr>
            <w:tcW w:w="4008" w:type="dxa"/>
            <w:tcBorders>
              <w:top w:val="single" w:sz="4" w:space="0" w:color="auto"/>
              <w:left w:val="single" w:sz="4" w:space="0" w:color="auto"/>
              <w:bottom w:val="single" w:sz="4" w:space="0" w:color="auto"/>
              <w:right w:val="single" w:sz="4" w:space="0" w:color="auto"/>
            </w:tcBorders>
          </w:tcPr>
          <w:p w14:paraId="5753758A" w14:textId="77777777" w:rsidR="002C1A07" w:rsidRPr="002D181B" w:rsidRDefault="002C1A07" w:rsidP="00183DF3">
            <w:pPr>
              <w:pStyle w:val="Default"/>
              <w:jc w:val="both"/>
              <w:rPr>
                <w:sz w:val="22"/>
                <w:szCs w:val="22"/>
              </w:rPr>
            </w:pPr>
            <w:r w:rsidRPr="002D181B">
              <w:rPr>
                <w:sz w:val="22"/>
                <w:szCs w:val="22"/>
              </w:rPr>
              <w:t>(D) Títulos de Deuda Pública negociables emitidos por el Gobierno de [ ]</w:t>
            </w:r>
            <w:r w:rsidRPr="002D181B">
              <w:rPr>
                <w:sz w:val="22"/>
                <w:szCs w:val="22"/>
              </w:rPr>
              <w:tab/>
              <w:t xml:space="preserve">[con </w:t>
            </w:r>
            <w:r w:rsidR="00664EE7" w:rsidRPr="002D181B">
              <w:rPr>
                <w:sz w:val="22"/>
                <w:szCs w:val="22"/>
              </w:rPr>
              <w:t>vencimiento</w:t>
            </w:r>
            <w:r w:rsidRPr="002D181B">
              <w:rPr>
                <w:sz w:val="22"/>
                <w:szCs w:val="22"/>
              </w:rPr>
              <w:t xml:space="preserve"> original en la fecha de emisión de más de diez años / con vencimiento en el plazo de más de diez años desde la Fecha de Valoración]</w:t>
            </w:r>
          </w:p>
        </w:tc>
        <w:tc>
          <w:tcPr>
            <w:tcW w:w="1417" w:type="dxa"/>
            <w:tcBorders>
              <w:top w:val="single" w:sz="4" w:space="0" w:color="auto"/>
              <w:left w:val="single" w:sz="4" w:space="0" w:color="auto"/>
              <w:bottom w:val="single" w:sz="4" w:space="0" w:color="auto"/>
              <w:right w:val="single" w:sz="4" w:space="0" w:color="auto"/>
            </w:tcBorders>
          </w:tcPr>
          <w:p w14:paraId="37D1175C"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6B79F14C"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402AD863" w14:textId="77777777" w:rsidR="002C1A07" w:rsidRPr="002D181B" w:rsidRDefault="002C1A07" w:rsidP="00183DF3">
            <w:pPr>
              <w:pStyle w:val="Default"/>
              <w:jc w:val="both"/>
              <w:rPr>
                <w:sz w:val="22"/>
                <w:szCs w:val="22"/>
              </w:rPr>
            </w:pPr>
            <w:r w:rsidRPr="002D181B">
              <w:rPr>
                <w:sz w:val="22"/>
                <w:szCs w:val="22"/>
              </w:rPr>
              <w:t>[....]%</w:t>
            </w:r>
          </w:p>
        </w:tc>
      </w:tr>
      <w:tr w:rsidR="002C1A07" w:rsidRPr="002D181B" w14:paraId="3BB71D1D" w14:textId="77777777" w:rsidTr="00473E77">
        <w:tblPrEx>
          <w:tblCellMar>
            <w:top w:w="0" w:type="dxa"/>
            <w:bottom w:w="0" w:type="dxa"/>
          </w:tblCellMar>
        </w:tblPrEx>
        <w:trPr>
          <w:gridAfter w:val="1"/>
          <w:wAfter w:w="6" w:type="dxa"/>
          <w:trHeight w:val="420"/>
        </w:trPr>
        <w:tc>
          <w:tcPr>
            <w:tcW w:w="4008" w:type="dxa"/>
            <w:tcBorders>
              <w:top w:val="single" w:sz="4" w:space="0" w:color="auto"/>
              <w:left w:val="single" w:sz="4" w:space="0" w:color="auto"/>
              <w:bottom w:val="single" w:sz="4" w:space="0" w:color="auto"/>
              <w:right w:val="single" w:sz="4" w:space="0" w:color="auto"/>
            </w:tcBorders>
          </w:tcPr>
          <w:p w14:paraId="38DD37B4" w14:textId="77777777" w:rsidR="002C1A07" w:rsidRPr="002D181B" w:rsidRDefault="002C1A07" w:rsidP="00183DF3">
            <w:pPr>
              <w:pStyle w:val="Default"/>
              <w:jc w:val="both"/>
              <w:rPr>
                <w:sz w:val="22"/>
                <w:szCs w:val="22"/>
              </w:rPr>
            </w:pPr>
            <w:r w:rsidRPr="002D181B">
              <w:rPr>
                <w:sz w:val="22"/>
                <w:szCs w:val="22"/>
              </w:rPr>
              <w:t>(E)</w:t>
            </w:r>
            <w:r w:rsidRPr="002D181B">
              <w:rPr>
                <w:sz w:val="22"/>
                <w:szCs w:val="22"/>
              </w:rPr>
              <w:tab/>
              <w:t xml:space="preserve">Otros </w:t>
            </w:r>
          </w:p>
        </w:tc>
        <w:tc>
          <w:tcPr>
            <w:tcW w:w="1417" w:type="dxa"/>
            <w:tcBorders>
              <w:top w:val="single" w:sz="4" w:space="0" w:color="auto"/>
              <w:left w:val="single" w:sz="4" w:space="0" w:color="auto"/>
              <w:bottom w:val="single" w:sz="4" w:space="0" w:color="auto"/>
              <w:right w:val="single" w:sz="4" w:space="0" w:color="auto"/>
            </w:tcBorders>
          </w:tcPr>
          <w:p w14:paraId="19AEB774" w14:textId="77777777" w:rsidR="002C1A07" w:rsidRPr="002D181B" w:rsidRDefault="002C1A07" w:rsidP="00183DF3">
            <w:pPr>
              <w:pStyle w:val="Default"/>
              <w:jc w:val="both"/>
              <w:rPr>
                <w:color w:val="auto"/>
              </w:rPr>
            </w:pPr>
          </w:p>
        </w:tc>
        <w:tc>
          <w:tcPr>
            <w:tcW w:w="1417" w:type="dxa"/>
            <w:gridSpan w:val="2"/>
            <w:tcBorders>
              <w:top w:val="single" w:sz="4" w:space="0" w:color="auto"/>
              <w:left w:val="single" w:sz="4" w:space="0" w:color="auto"/>
              <w:bottom w:val="single" w:sz="4" w:space="0" w:color="auto"/>
              <w:right w:val="single" w:sz="4" w:space="0" w:color="auto"/>
            </w:tcBorders>
          </w:tcPr>
          <w:p w14:paraId="5EC0A66B" w14:textId="77777777" w:rsidR="002C1A07" w:rsidRPr="002D181B" w:rsidRDefault="002C1A07" w:rsidP="00183DF3">
            <w:pPr>
              <w:pStyle w:val="Default"/>
              <w:jc w:val="both"/>
              <w:rPr>
                <w:color w:val="auto"/>
              </w:rPr>
            </w:pPr>
          </w:p>
        </w:tc>
        <w:tc>
          <w:tcPr>
            <w:tcW w:w="1527" w:type="dxa"/>
            <w:gridSpan w:val="2"/>
            <w:tcBorders>
              <w:top w:val="single" w:sz="4" w:space="0" w:color="auto"/>
              <w:left w:val="single" w:sz="4" w:space="0" w:color="auto"/>
              <w:bottom w:val="single" w:sz="4" w:space="0" w:color="auto"/>
              <w:right w:val="single" w:sz="4" w:space="0" w:color="auto"/>
            </w:tcBorders>
          </w:tcPr>
          <w:p w14:paraId="1FBD4970" w14:textId="77777777" w:rsidR="002C1A07" w:rsidRPr="002D181B" w:rsidRDefault="002C1A07" w:rsidP="00183DF3">
            <w:pPr>
              <w:pStyle w:val="Default"/>
              <w:jc w:val="both"/>
              <w:rPr>
                <w:sz w:val="22"/>
                <w:szCs w:val="22"/>
              </w:rPr>
            </w:pPr>
            <w:r w:rsidRPr="002D181B">
              <w:rPr>
                <w:sz w:val="22"/>
                <w:szCs w:val="22"/>
              </w:rPr>
              <w:t>[....]%</w:t>
            </w:r>
          </w:p>
        </w:tc>
      </w:tr>
      <w:tr w:rsidR="00397C18" w:rsidRPr="002D181B" w14:paraId="58BB30C5" w14:textId="77777777" w:rsidTr="00473E77">
        <w:tblPrEx>
          <w:tblCellMar>
            <w:top w:w="0" w:type="dxa"/>
            <w:bottom w:w="0" w:type="dxa"/>
          </w:tblCellMar>
        </w:tblPrEx>
        <w:trPr>
          <w:trHeight w:val="330"/>
        </w:trPr>
        <w:tc>
          <w:tcPr>
            <w:tcW w:w="4008" w:type="dxa"/>
            <w:tcBorders>
              <w:top w:val="single" w:sz="4" w:space="0" w:color="auto"/>
            </w:tcBorders>
            <w:vAlign w:val="bottom"/>
          </w:tcPr>
          <w:p w14:paraId="7AE4A9B0" w14:textId="77777777" w:rsidR="00397C18" w:rsidRPr="002D181B" w:rsidRDefault="002C1A07" w:rsidP="00183DF3">
            <w:pPr>
              <w:pStyle w:val="Default"/>
              <w:jc w:val="both"/>
              <w:rPr>
                <w:b/>
                <w:sz w:val="22"/>
                <w:szCs w:val="22"/>
              </w:rPr>
            </w:pPr>
            <w:r w:rsidRPr="002D181B">
              <w:rPr>
                <w:b/>
                <w:i/>
                <w:iCs/>
                <w:sz w:val="22"/>
                <w:szCs w:val="22"/>
              </w:rPr>
              <w:t>(c</w:t>
            </w:r>
            <w:r w:rsidR="00397C18" w:rsidRPr="002D181B">
              <w:rPr>
                <w:b/>
                <w:i/>
                <w:iCs/>
                <w:sz w:val="22"/>
                <w:szCs w:val="22"/>
              </w:rPr>
              <w:t xml:space="preserve">) Importes: </w:t>
            </w:r>
          </w:p>
        </w:tc>
        <w:tc>
          <w:tcPr>
            <w:tcW w:w="1669" w:type="dxa"/>
            <w:gridSpan w:val="2"/>
            <w:tcBorders>
              <w:top w:val="single" w:sz="4" w:space="0" w:color="auto"/>
            </w:tcBorders>
          </w:tcPr>
          <w:p w14:paraId="314EC212" w14:textId="77777777" w:rsidR="00397C18" w:rsidRPr="002D181B" w:rsidRDefault="00397C18" w:rsidP="00183DF3">
            <w:pPr>
              <w:pStyle w:val="Default"/>
              <w:jc w:val="both"/>
              <w:rPr>
                <w:b/>
                <w:color w:val="auto"/>
                <w:sz w:val="22"/>
                <w:szCs w:val="22"/>
              </w:rPr>
            </w:pPr>
          </w:p>
        </w:tc>
        <w:tc>
          <w:tcPr>
            <w:tcW w:w="1171" w:type="dxa"/>
            <w:gridSpan w:val="2"/>
            <w:tcBorders>
              <w:top w:val="single" w:sz="4" w:space="0" w:color="auto"/>
            </w:tcBorders>
          </w:tcPr>
          <w:p w14:paraId="3577ED34" w14:textId="77777777" w:rsidR="00397C18" w:rsidRPr="002D181B" w:rsidRDefault="00397C18" w:rsidP="00183DF3">
            <w:pPr>
              <w:pStyle w:val="Default"/>
              <w:jc w:val="both"/>
              <w:rPr>
                <w:b/>
                <w:color w:val="auto"/>
                <w:sz w:val="22"/>
                <w:szCs w:val="22"/>
              </w:rPr>
            </w:pPr>
          </w:p>
        </w:tc>
        <w:tc>
          <w:tcPr>
            <w:tcW w:w="1527" w:type="dxa"/>
            <w:gridSpan w:val="2"/>
            <w:tcBorders>
              <w:top w:val="single" w:sz="4" w:space="0" w:color="auto"/>
            </w:tcBorders>
          </w:tcPr>
          <w:p w14:paraId="54D3B45D" w14:textId="77777777" w:rsidR="00397C18" w:rsidRPr="002D181B" w:rsidRDefault="00397C18" w:rsidP="00183DF3">
            <w:pPr>
              <w:pStyle w:val="Default"/>
              <w:jc w:val="both"/>
              <w:rPr>
                <w:b/>
                <w:color w:val="auto"/>
                <w:sz w:val="22"/>
                <w:szCs w:val="22"/>
              </w:rPr>
            </w:pPr>
          </w:p>
        </w:tc>
      </w:tr>
    </w:tbl>
    <w:p w14:paraId="204ADF5E" w14:textId="77777777" w:rsidR="00397C18" w:rsidRPr="001B310C" w:rsidRDefault="00397C18" w:rsidP="00183DF3">
      <w:pPr>
        <w:pStyle w:val="Default"/>
        <w:jc w:val="both"/>
        <w:rPr>
          <w:color w:val="auto"/>
          <w:sz w:val="22"/>
          <w:szCs w:val="22"/>
        </w:rPr>
      </w:pPr>
    </w:p>
    <w:p w14:paraId="7367DEE7" w14:textId="77777777" w:rsidR="00397C18" w:rsidRPr="001B310C" w:rsidRDefault="00397C18" w:rsidP="00183DF3">
      <w:pPr>
        <w:pStyle w:val="Default"/>
        <w:numPr>
          <w:ilvl w:val="0"/>
          <w:numId w:val="7"/>
        </w:numPr>
        <w:jc w:val="both"/>
        <w:rPr>
          <w:color w:val="auto"/>
          <w:sz w:val="22"/>
          <w:szCs w:val="22"/>
        </w:rPr>
      </w:pPr>
      <w:r w:rsidRPr="001B310C">
        <w:rPr>
          <w:color w:val="auto"/>
          <w:sz w:val="22"/>
          <w:szCs w:val="22"/>
        </w:rPr>
        <w:t>(i)</w:t>
      </w:r>
      <w:r w:rsidRPr="001B310C">
        <w:rPr>
          <w:color w:val="auto"/>
          <w:sz w:val="22"/>
          <w:szCs w:val="22"/>
        </w:rPr>
        <w:tab/>
        <w:t xml:space="preserve">"Importe Máximo" significa en relación a la Parte A y la Parte B: </w:t>
      </w:r>
    </w:p>
    <w:p w14:paraId="72DF483D" w14:textId="77777777" w:rsidR="002C1A07" w:rsidRPr="001B310C" w:rsidRDefault="002C1A07" w:rsidP="00183DF3">
      <w:pPr>
        <w:pStyle w:val="Default"/>
        <w:numPr>
          <w:ilvl w:val="0"/>
          <w:numId w:val="7"/>
        </w:numPr>
        <w:jc w:val="both"/>
        <w:rPr>
          <w:color w:val="auto"/>
          <w:sz w:val="22"/>
          <w:szCs w:val="22"/>
        </w:rPr>
      </w:pPr>
    </w:p>
    <w:p w14:paraId="7AE343F8" w14:textId="77777777" w:rsidR="00397C18" w:rsidRPr="001B310C" w:rsidRDefault="00397C18" w:rsidP="002C1A07">
      <w:pPr>
        <w:pStyle w:val="Default"/>
        <w:numPr>
          <w:ilvl w:val="0"/>
          <w:numId w:val="7"/>
        </w:numPr>
        <w:ind w:left="1440" w:hanging="1440"/>
        <w:jc w:val="both"/>
        <w:rPr>
          <w:color w:val="auto"/>
          <w:sz w:val="22"/>
          <w:szCs w:val="22"/>
        </w:rPr>
      </w:pPr>
      <w:r w:rsidRPr="001B310C">
        <w:rPr>
          <w:color w:val="auto"/>
          <w:sz w:val="22"/>
          <w:szCs w:val="22"/>
        </w:rPr>
        <w:t>(ii)</w:t>
      </w:r>
      <w:r w:rsidRPr="001B310C">
        <w:rPr>
          <w:color w:val="auto"/>
          <w:sz w:val="22"/>
          <w:szCs w:val="22"/>
        </w:rPr>
        <w:tab/>
        <w:t xml:space="preserve">"Cantidad Mínima Objeto de Cesión" significa en relación a la Parte A y la Parte B: </w:t>
      </w:r>
    </w:p>
    <w:p w14:paraId="7BB36C03" w14:textId="77777777" w:rsidR="00397C18" w:rsidRPr="001B310C" w:rsidRDefault="00397C18" w:rsidP="00183DF3">
      <w:pPr>
        <w:pStyle w:val="Default"/>
        <w:jc w:val="both"/>
        <w:rPr>
          <w:color w:val="auto"/>
          <w:sz w:val="22"/>
          <w:szCs w:val="22"/>
        </w:rPr>
      </w:pPr>
    </w:p>
    <w:p w14:paraId="2D43B716" w14:textId="77777777" w:rsidR="00397C18" w:rsidRPr="00473E77" w:rsidRDefault="00397C18" w:rsidP="00473E77">
      <w:pPr>
        <w:pStyle w:val="Default"/>
        <w:numPr>
          <w:ilvl w:val="0"/>
          <w:numId w:val="7"/>
        </w:numPr>
        <w:ind w:left="1440" w:hanging="1440"/>
        <w:jc w:val="both"/>
        <w:rPr>
          <w:color w:val="auto"/>
          <w:sz w:val="22"/>
          <w:szCs w:val="22"/>
        </w:rPr>
      </w:pPr>
      <w:r w:rsidRPr="001B310C">
        <w:rPr>
          <w:color w:val="auto"/>
          <w:sz w:val="22"/>
          <w:szCs w:val="22"/>
        </w:rPr>
        <w:t>(</w:t>
      </w:r>
      <w:r w:rsidR="00EB770D" w:rsidRPr="001B310C">
        <w:rPr>
          <w:color w:val="auto"/>
          <w:sz w:val="22"/>
          <w:szCs w:val="22"/>
        </w:rPr>
        <w:t>ii</w:t>
      </w:r>
      <w:r w:rsidR="00EB770D">
        <w:rPr>
          <w:color w:val="auto"/>
          <w:sz w:val="22"/>
          <w:szCs w:val="22"/>
        </w:rPr>
        <w:t>i</w:t>
      </w:r>
      <w:r w:rsidRPr="001B310C">
        <w:rPr>
          <w:color w:val="auto"/>
          <w:sz w:val="22"/>
          <w:szCs w:val="22"/>
        </w:rPr>
        <w:t>)</w:t>
      </w:r>
      <w:r w:rsidRPr="001B310C">
        <w:rPr>
          <w:color w:val="auto"/>
          <w:sz w:val="22"/>
          <w:szCs w:val="22"/>
        </w:rPr>
        <w:tab/>
        <w:t xml:space="preserve">"Redondeo" La Cantidad a Entregar y la Cantidad a Devolver será redondeada por defecto o por exceso al más cercano múltiplo de [ </w:t>
      </w:r>
      <w:r w:rsidR="00473E77">
        <w:rPr>
          <w:color w:val="auto"/>
          <w:sz w:val="22"/>
          <w:szCs w:val="22"/>
        </w:rPr>
        <w:t xml:space="preserve">                 </w:t>
      </w:r>
      <w:r w:rsidRPr="00473E77">
        <w:rPr>
          <w:color w:val="auto"/>
          <w:sz w:val="22"/>
          <w:szCs w:val="22"/>
        </w:rPr>
        <w:t>]</w:t>
      </w:r>
      <w:r w:rsidR="002C1A07" w:rsidRPr="00473E77">
        <w:rPr>
          <w:color w:val="auto"/>
          <w:sz w:val="22"/>
          <w:szCs w:val="22"/>
        </w:rPr>
        <w:t>.</w:t>
      </w:r>
      <w:r w:rsidRPr="00473E77">
        <w:rPr>
          <w:color w:val="auto"/>
          <w:sz w:val="22"/>
          <w:szCs w:val="22"/>
        </w:rPr>
        <w:t xml:space="preserve"> [En caso de que dicha Cantidad a Entregar o Cantidad a Devolver fuera igualmente cercana por exceso y por defecto al referido múltiplo, se redondeará [por exceso/por defecto]. </w:t>
      </w:r>
    </w:p>
    <w:p w14:paraId="19D3948C" w14:textId="77777777" w:rsidR="002C1A07" w:rsidRPr="001B310C" w:rsidRDefault="002C1A07" w:rsidP="002C1A07">
      <w:pPr>
        <w:pStyle w:val="Default"/>
        <w:ind w:left="1418"/>
        <w:jc w:val="both"/>
        <w:rPr>
          <w:color w:val="auto"/>
          <w:sz w:val="22"/>
          <w:szCs w:val="22"/>
        </w:rPr>
      </w:pPr>
    </w:p>
    <w:p w14:paraId="64F67242" w14:textId="77777777" w:rsidR="00397C18" w:rsidRPr="001B310C" w:rsidRDefault="00397C18" w:rsidP="002C1A07">
      <w:pPr>
        <w:pStyle w:val="Default"/>
        <w:jc w:val="both"/>
        <w:rPr>
          <w:b/>
          <w:i/>
          <w:color w:val="auto"/>
          <w:sz w:val="22"/>
          <w:szCs w:val="22"/>
        </w:rPr>
      </w:pPr>
      <w:r w:rsidRPr="001B310C">
        <w:rPr>
          <w:b/>
          <w:i/>
          <w:iCs/>
          <w:color w:val="auto"/>
          <w:sz w:val="22"/>
          <w:szCs w:val="22"/>
        </w:rPr>
        <w:t xml:space="preserve">(d) Agente de Valoración: [ </w:t>
      </w:r>
      <w:r w:rsidR="002C1A07" w:rsidRPr="001B310C">
        <w:rPr>
          <w:b/>
          <w:i/>
          <w:iCs/>
          <w:color w:val="auto"/>
          <w:sz w:val="22"/>
          <w:szCs w:val="22"/>
        </w:rPr>
        <w:t xml:space="preserve">     </w:t>
      </w:r>
      <w:r w:rsidR="002C1A07" w:rsidRPr="001B310C">
        <w:rPr>
          <w:b/>
          <w:i/>
          <w:color w:val="auto"/>
          <w:sz w:val="22"/>
          <w:szCs w:val="22"/>
        </w:rPr>
        <w:t>]</w:t>
      </w:r>
    </w:p>
    <w:p w14:paraId="5D8A3F0B" w14:textId="77777777" w:rsidR="002C1A07" w:rsidRPr="001B310C" w:rsidRDefault="002C1A07" w:rsidP="002C1A07">
      <w:pPr>
        <w:pStyle w:val="Default"/>
        <w:jc w:val="both"/>
        <w:rPr>
          <w:b/>
          <w:i/>
          <w:color w:val="auto"/>
          <w:sz w:val="22"/>
          <w:szCs w:val="22"/>
        </w:rPr>
      </w:pPr>
    </w:p>
    <w:p w14:paraId="1BA16682" w14:textId="77777777" w:rsidR="002C1A07" w:rsidRPr="001B310C" w:rsidRDefault="00397C18" w:rsidP="002C1A07">
      <w:pPr>
        <w:pStyle w:val="Default"/>
        <w:jc w:val="both"/>
        <w:rPr>
          <w:b/>
          <w:i/>
          <w:color w:val="auto"/>
          <w:sz w:val="22"/>
          <w:szCs w:val="22"/>
        </w:rPr>
      </w:pPr>
      <w:r w:rsidRPr="001B310C">
        <w:rPr>
          <w:b/>
          <w:i/>
          <w:iCs/>
          <w:color w:val="auto"/>
          <w:sz w:val="22"/>
          <w:szCs w:val="22"/>
        </w:rPr>
        <w:t>(e) Fechas de Valoración: [</w:t>
      </w:r>
      <w:r w:rsidR="002C1A07" w:rsidRPr="001B310C">
        <w:rPr>
          <w:b/>
          <w:i/>
          <w:iCs/>
          <w:color w:val="auto"/>
          <w:sz w:val="22"/>
          <w:szCs w:val="22"/>
        </w:rPr>
        <w:t xml:space="preserve">     </w:t>
      </w:r>
      <w:r w:rsidR="002C1A07" w:rsidRPr="001B310C">
        <w:rPr>
          <w:b/>
          <w:i/>
          <w:color w:val="auto"/>
          <w:sz w:val="22"/>
          <w:szCs w:val="22"/>
        </w:rPr>
        <w:t>]</w:t>
      </w:r>
    </w:p>
    <w:p w14:paraId="19E65714" w14:textId="77777777" w:rsidR="00397C18" w:rsidRPr="001B310C" w:rsidRDefault="00397C18" w:rsidP="002C1A07">
      <w:pPr>
        <w:pStyle w:val="Default"/>
        <w:jc w:val="both"/>
        <w:rPr>
          <w:color w:val="auto"/>
          <w:sz w:val="22"/>
          <w:szCs w:val="22"/>
        </w:rPr>
      </w:pPr>
    </w:p>
    <w:p w14:paraId="34A7698A" w14:textId="77777777" w:rsidR="00397C18" w:rsidRPr="001B310C" w:rsidRDefault="002C1A07" w:rsidP="002C1A07">
      <w:pPr>
        <w:pStyle w:val="Default"/>
        <w:jc w:val="both"/>
        <w:rPr>
          <w:b/>
          <w:i/>
          <w:iCs/>
          <w:color w:val="auto"/>
          <w:sz w:val="22"/>
          <w:szCs w:val="22"/>
        </w:rPr>
      </w:pPr>
      <w:r w:rsidRPr="001B310C">
        <w:rPr>
          <w:b/>
          <w:i/>
          <w:iCs/>
          <w:color w:val="auto"/>
          <w:sz w:val="22"/>
          <w:szCs w:val="22"/>
        </w:rPr>
        <w:t>(f</w:t>
      </w:r>
      <w:r w:rsidR="00397C18" w:rsidRPr="001B310C">
        <w:rPr>
          <w:b/>
          <w:i/>
          <w:iCs/>
          <w:color w:val="auto"/>
          <w:sz w:val="22"/>
          <w:szCs w:val="22"/>
        </w:rPr>
        <w:t xml:space="preserve">) </w:t>
      </w:r>
      <w:r w:rsidR="007D2874" w:rsidRPr="001B310C">
        <w:rPr>
          <w:b/>
          <w:i/>
          <w:iCs/>
          <w:color w:val="auto"/>
          <w:sz w:val="22"/>
          <w:szCs w:val="22"/>
        </w:rPr>
        <w:t>Tiempos</w:t>
      </w:r>
      <w:r w:rsidR="00397C18" w:rsidRPr="001B310C">
        <w:rPr>
          <w:b/>
          <w:i/>
          <w:iCs/>
          <w:color w:val="auto"/>
          <w:sz w:val="22"/>
          <w:szCs w:val="22"/>
        </w:rPr>
        <w:t>.</w:t>
      </w:r>
    </w:p>
    <w:p w14:paraId="1588B3B8" w14:textId="77777777" w:rsidR="002C1A07" w:rsidRPr="001B310C" w:rsidRDefault="002C1A07" w:rsidP="002C1A07">
      <w:pPr>
        <w:pStyle w:val="Default"/>
        <w:jc w:val="both"/>
        <w:rPr>
          <w:b/>
          <w:color w:val="auto"/>
          <w:sz w:val="22"/>
          <w:szCs w:val="22"/>
        </w:rPr>
      </w:pPr>
    </w:p>
    <w:p w14:paraId="3863527E" w14:textId="77777777" w:rsidR="00397C18" w:rsidRPr="001B310C" w:rsidRDefault="00397C18" w:rsidP="002C1A07">
      <w:pPr>
        <w:pStyle w:val="Default"/>
        <w:numPr>
          <w:ilvl w:val="1"/>
          <w:numId w:val="8"/>
        </w:numPr>
        <w:ind w:left="1440" w:hanging="1440"/>
        <w:jc w:val="both"/>
        <w:rPr>
          <w:color w:val="auto"/>
          <w:sz w:val="22"/>
          <w:szCs w:val="22"/>
        </w:rPr>
      </w:pPr>
      <w:r w:rsidRPr="001B310C">
        <w:rPr>
          <w:color w:val="auto"/>
          <w:sz w:val="22"/>
          <w:szCs w:val="22"/>
        </w:rPr>
        <w:t>(i)</w:t>
      </w:r>
      <w:r w:rsidRPr="001B310C">
        <w:rPr>
          <w:color w:val="auto"/>
          <w:sz w:val="22"/>
          <w:szCs w:val="22"/>
        </w:rPr>
        <w:tab/>
        <w:t xml:space="preserve">"Hora de Valoración" significa: [horario habitual de cierre en el Día Hábil inmediatamente anterior a la Fecha de Valoración siempre que, el cálculo del Valor y el Riesgo Neto sea, dentro de lo posible, realizado aproximadamente a la misma hora en el mismo día]. </w:t>
      </w:r>
    </w:p>
    <w:p w14:paraId="55606B89" w14:textId="77777777" w:rsidR="002C1A07" w:rsidRPr="001B310C" w:rsidRDefault="002C1A07" w:rsidP="002C1A07">
      <w:pPr>
        <w:pStyle w:val="Default"/>
        <w:numPr>
          <w:ilvl w:val="1"/>
          <w:numId w:val="8"/>
        </w:numPr>
        <w:ind w:left="1440" w:hanging="1440"/>
        <w:jc w:val="both"/>
        <w:rPr>
          <w:color w:val="auto"/>
          <w:sz w:val="22"/>
          <w:szCs w:val="22"/>
        </w:rPr>
      </w:pPr>
    </w:p>
    <w:p w14:paraId="6F0A56B6" w14:textId="77777777" w:rsidR="00397C18" w:rsidRPr="001B310C" w:rsidRDefault="00397C18" w:rsidP="002C1A07">
      <w:pPr>
        <w:pStyle w:val="Default"/>
        <w:numPr>
          <w:ilvl w:val="1"/>
          <w:numId w:val="8"/>
        </w:numPr>
        <w:ind w:left="1440" w:hanging="1440"/>
        <w:jc w:val="both"/>
        <w:rPr>
          <w:color w:val="auto"/>
          <w:sz w:val="22"/>
          <w:szCs w:val="22"/>
        </w:rPr>
      </w:pPr>
      <w:r w:rsidRPr="001B310C">
        <w:rPr>
          <w:color w:val="auto"/>
          <w:sz w:val="22"/>
          <w:szCs w:val="22"/>
        </w:rPr>
        <w:t>(ii)</w:t>
      </w:r>
      <w:r w:rsidRPr="001B310C">
        <w:rPr>
          <w:color w:val="auto"/>
          <w:sz w:val="22"/>
          <w:szCs w:val="22"/>
        </w:rPr>
        <w:tab/>
        <w:t xml:space="preserve">"Hora de </w:t>
      </w:r>
      <w:r w:rsidR="00EB770D" w:rsidRPr="001B310C">
        <w:rPr>
          <w:color w:val="auto"/>
          <w:sz w:val="22"/>
          <w:szCs w:val="22"/>
        </w:rPr>
        <w:t>Notificación</w:t>
      </w:r>
      <w:r w:rsidRPr="001B310C">
        <w:rPr>
          <w:color w:val="auto"/>
          <w:sz w:val="22"/>
          <w:szCs w:val="22"/>
        </w:rPr>
        <w:t>" significa [</w:t>
      </w:r>
      <w:r w:rsidRPr="001B310C">
        <w:rPr>
          <w:color w:val="auto"/>
          <w:sz w:val="22"/>
          <w:szCs w:val="22"/>
        </w:rPr>
        <w:tab/>
        <w:t xml:space="preserve"> ]</w:t>
      </w:r>
      <w:r w:rsidR="00A949C6">
        <w:rPr>
          <w:color w:val="auto"/>
          <w:sz w:val="22"/>
          <w:szCs w:val="22"/>
        </w:rPr>
        <w:t xml:space="preserve"> </w:t>
      </w:r>
      <w:r w:rsidRPr="001B310C">
        <w:rPr>
          <w:color w:val="auto"/>
          <w:sz w:val="22"/>
          <w:szCs w:val="22"/>
        </w:rPr>
        <w:t xml:space="preserve">p.m., hora de Madrid, en un Día Hábil </w:t>
      </w:r>
    </w:p>
    <w:p w14:paraId="7AAD6C30" w14:textId="77777777" w:rsidR="002C1A07" w:rsidRPr="001B310C" w:rsidRDefault="002C1A07" w:rsidP="002C1A07">
      <w:pPr>
        <w:pStyle w:val="Default"/>
        <w:numPr>
          <w:ilvl w:val="1"/>
          <w:numId w:val="8"/>
        </w:numPr>
        <w:ind w:left="1440" w:hanging="1440"/>
        <w:jc w:val="both"/>
        <w:rPr>
          <w:color w:val="auto"/>
          <w:sz w:val="22"/>
          <w:szCs w:val="22"/>
        </w:rPr>
      </w:pPr>
    </w:p>
    <w:p w14:paraId="6A1C792D" w14:textId="77777777" w:rsidR="00397C18" w:rsidRPr="001B310C" w:rsidRDefault="00397C18" w:rsidP="002C1A07">
      <w:pPr>
        <w:pStyle w:val="Default"/>
        <w:jc w:val="both"/>
        <w:rPr>
          <w:b/>
          <w:i/>
          <w:iCs/>
          <w:color w:val="auto"/>
          <w:sz w:val="22"/>
          <w:szCs w:val="22"/>
        </w:rPr>
      </w:pPr>
      <w:r w:rsidRPr="001B310C">
        <w:rPr>
          <w:b/>
          <w:i/>
          <w:color w:val="auto"/>
          <w:sz w:val="22"/>
          <w:szCs w:val="22"/>
        </w:rPr>
        <w:t xml:space="preserve">(g) </w:t>
      </w:r>
      <w:r w:rsidRPr="001B310C">
        <w:rPr>
          <w:b/>
          <w:i/>
          <w:iCs/>
          <w:color w:val="auto"/>
          <w:sz w:val="22"/>
          <w:szCs w:val="22"/>
        </w:rPr>
        <w:t xml:space="preserve">Resolución de Controversia. </w:t>
      </w:r>
    </w:p>
    <w:p w14:paraId="6161AA68" w14:textId="77777777" w:rsidR="002C1A07" w:rsidRPr="001B310C" w:rsidRDefault="002C1A07" w:rsidP="002C1A07">
      <w:pPr>
        <w:pStyle w:val="Default"/>
        <w:jc w:val="both"/>
        <w:rPr>
          <w:b/>
          <w:i/>
          <w:color w:val="auto"/>
          <w:sz w:val="22"/>
          <w:szCs w:val="22"/>
        </w:rPr>
      </w:pPr>
    </w:p>
    <w:p w14:paraId="7AD349AB" w14:textId="77777777" w:rsidR="00397C18" w:rsidRPr="001B310C" w:rsidRDefault="001B310C" w:rsidP="001B310C">
      <w:pPr>
        <w:pStyle w:val="Default"/>
        <w:numPr>
          <w:ilvl w:val="1"/>
          <w:numId w:val="8"/>
        </w:numPr>
        <w:ind w:left="1440" w:hanging="1440"/>
        <w:jc w:val="both"/>
        <w:rPr>
          <w:color w:val="auto"/>
          <w:sz w:val="22"/>
          <w:szCs w:val="22"/>
        </w:rPr>
      </w:pPr>
      <w:r w:rsidRPr="001B310C">
        <w:rPr>
          <w:color w:val="auto"/>
          <w:sz w:val="22"/>
          <w:szCs w:val="22"/>
        </w:rPr>
        <w:t>(i)</w:t>
      </w:r>
      <w:r w:rsidRPr="001B310C">
        <w:rPr>
          <w:color w:val="auto"/>
          <w:sz w:val="22"/>
          <w:szCs w:val="22"/>
        </w:rPr>
        <w:tab/>
      </w:r>
      <w:r w:rsidR="00397C18" w:rsidRPr="001B310C">
        <w:rPr>
          <w:color w:val="auto"/>
          <w:sz w:val="22"/>
          <w:szCs w:val="22"/>
        </w:rPr>
        <w:t>"</w:t>
      </w:r>
      <w:r w:rsidR="002D35EA">
        <w:rPr>
          <w:color w:val="auto"/>
          <w:sz w:val="22"/>
          <w:szCs w:val="22"/>
        </w:rPr>
        <w:t>Hora de Resolución" significa [</w:t>
      </w:r>
      <w:r w:rsidR="00397C18" w:rsidRPr="001B310C">
        <w:rPr>
          <w:color w:val="auto"/>
          <w:sz w:val="22"/>
          <w:szCs w:val="22"/>
        </w:rPr>
        <w:t xml:space="preserve"> ] p.m., hora de Madrid, en el Día Hábil siguiente a la notificación que da lugar a la controversia bajo la Estipulación Quinta del Anexo </w:t>
      </w:r>
    </w:p>
    <w:p w14:paraId="16BE28EC" w14:textId="77777777" w:rsidR="001B310C" w:rsidRPr="001B310C" w:rsidRDefault="001B310C" w:rsidP="001B310C">
      <w:pPr>
        <w:pStyle w:val="Default"/>
        <w:numPr>
          <w:ilvl w:val="1"/>
          <w:numId w:val="8"/>
        </w:numPr>
        <w:ind w:left="1440" w:hanging="1440"/>
        <w:jc w:val="both"/>
        <w:rPr>
          <w:color w:val="auto"/>
          <w:sz w:val="22"/>
          <w:szCs w:val="22"/>
        </w:rPr>
      </w:pPr>
    </w:p>
    <w:p w14:paraId="1834ACB2" w14:textId="77777777" w:rsidR="001B310C" w:rsidRPr="001B310C" w:rsidRDefault="00397C18" w:rsidP="001B310C">
      <w:pPr>
        <w:pStyle w:val="Default"/>
        <w:numPr>
          <w:ilvl w:val="1"/>
          <w:numId w:val="8"/>
        </w:numPr>
        <w:ind w:left="1440" w:hanging="1440"/>
        <w:jc w:val="both"/>
        <w:rPr>
          <w:color w:val="auto"/>
          <w:sz w:val="22"/>
          <w:szCs w:val="22"/>
        </w:rPr>
      </w:pPr>
      <w:r w:rsidRPr="001B310C">
        <w:rPr>
          <w:color w:val="auto"/>
          <w:sz w:val="22"/>
          <w:szCs w:val="22"/>
        </w:rPr>
        <w:t>(ii)</w:t>
      </w:r>
      <w:r w:rsidRPr="001B310C">
        <w:rPr>
          <w:color w:val="auto"/>
          <w:sz w:val="22"/>
          <w:szCs w:val="22"/>
        </w:rPr>
        <w:tab/>
        <w:t>"Valor" en relación con valores, el Valor será el precio de compra que aparezca cotizado en [Bloomberg Financial Markets and Commodities News/ [ ]</w:t>
      </w:r>
      <w:bookmarkStart w:id="1" w:name="OLE_LINK1"/>
      <w:r w:rsidRPr="001B310C">
        <w:rPr>
          <w:color w:val="auto"/>
          <w:sz w:val="22"/>
          <w:szCs w:val="22"/>
        </w:rPr>
        <w:t>]</w:t>
      </w:r>
      <w:bookmarkEnd w:id="1"/>
      <w:r w:rsidRPr="001B310C">
        <w:rPr>
          <w:color w:val="auto"/>
          <w:sz w:val="22"/>
          <w:szCs w:val="22"/>
        </w:rPr>
        <w:t xml:space="preserve">, </w:t>
      </w:r>
      <w:r w:rsidR="001B310C">
        <w:rPr>
          <w:color w:val="auto"/>
          <w:sz w:val="22"/>
          <w:szCs w:val="22"/>
        </w:rPr>
        <w:t xml:space="preserve">o </w:t>
      </w:r>
      <w:r w:rsidRPr="001B310C">
        <w:rPr>
          <w:color w:val="auto"/>
          <w:sz w:val="22"/>
          <w:szCs w:val="22"/>
        </w:rPr>
        <w:t>aquel otro servicio de información que sustituya a éste en el futuro.</w:t>
      </w:r>
    </w:p>
    <w:p w14:paraId="37D1DCAA" w14:textId="77777777" w:rsidR="00397C18" w:rsidRPr="001B310C" w:rsidRDefault="00397C18" w:rsidP="001B310C">
      <w:pPr>
        <w:pStyle w:val="Default"/>
        <w:numPr>
          <w:ilvl w:val="1"/>
          <w:numId w:val="8"/>
        </w:numPr>
        <w:ind w:left="1440" w:hanging="1440"/>
        <w:jc w:val="both"/>
        <w:rPr>
          <w:color w:val="auto"/>
          <w:sz w:val="22"/>
          <w:szCs w:val="22"/>
        </w:rPr>
      </w:pPr>
      <w:r w:rsidRPr="001B310C">
        <w:rPr>
          <w:color w:val="auto"/>
          <w:sz w:val="22"/>
          <w:szCs w:val="22"/>
        </w:rPr>
        <w:t xml:space="preserve"> </w:t>
      </w:r>
    </w:p>
    <w:p w14:paraId="090B41D9" w14:textId="77777777" w:rsidR="00397C18" w:rsidRPr="001B310C" w:rsidRDefault="00397C18" w:rsidP="001B310C">
      <w:pPr>
        <w:pStyle w:val="Default"/>
        <w:jc w:val="both"/>
        <w:rPr>
          <w:b/>
          <w:i/>
          <w:iCs/>
          <w:color w:val="auto"/>
          <w:sz w:val="22"/>
          <w:szCs w:val="22"/>
        </w:rPr>
      </w:pPr>
      <w:r w:rsidRPr="001B310C">
        <w:rPr>
          <w:b/>
          <w:i/>
          <w:color w:val="auto"/>
          <w:sz w:val="22"/>
          <w:szCs w:val="22"/>
        </w:rPr>
        <w:t>(</w:t>
      </w:r>
      <w:r w:rsidR="001B310C" w:rsidRPr="001B310C">
        <w:rPr>
          <w:b/>
          <w:i/>
          <w:color w:val="auto"/>
          <w:sz w:val="22"/>
          <w:szCs w:val="22"/>
        </w:rPr>
        <w:t>h</w:t>
      </w:r>
      <w:r w:rsidRPr="001B310C">
        <w:rPr>
          <w:b/>
          <w:i/>
          <w:color w:val="auto"/>
          <w:sz w:val="22"/>
          <w:szCs w:val="22"/>
        </w:rPr>
        <w:t xml:space="preserve">) </w:t>
      </w:r>
      <w:r w:rsidRPr="001B310C">
        <w:rPr>
          <w:b/>
          <w:i/>
          <w:iCs/>
          <w:color w:val="auto"/>
          <w:sz w:val="22"/>
          <w:szCs w:val="22"/>
        </w:rPr>
        <w:t xml:space="preserve">Dividendos e Intereses. </w:t>
      </w:r>
    </w:p>
    <w:p w14:paraId="0FE9DE61" w14:textId="77777777" w:rsidR="001B310C" w:rsidRPr="001B310C" w:rsidRDefault="001B310C" w:rsidP="001B310C">
      <w:pPr>
        <w:pStyle w:val="Default"/>
        <w:jc w:val="both"/>
        <w:rPr>
          <w:b/>
          <w:i/>
          <w:color w:val="auto"/>
          <w:sz w:val="22"/>
          <w:szCs w:val="22"/>
        </w:rPr>
      </w:pPr>
    </w:p>
    <w:p w14:paraId="1A04D9BA" w14:textId="77777777" w:rsidR="00397C18" w:rsidRDefault="00397C18" w:rsidP="00183DF3">
      <w:pPr>
        <w:pStyle w:val="Default"/>
        <w:numPr>
          <w:ilvl w:val="1"/>
          <w:numId w:val="8"/>
        </w:numPr>
        <w:jc w:val="both"/>
        <w:rPr>
          <w:color w:val="auto"/>
          <w:sz w:val="22"/>
          <w:szCs w:val="22"/>
        </w:rPr>
      </w:pPr>
      <w:r w:rsidRPr="001B310C">
        <w:rPr>
          <w:color w:val="auto"/>
          <w:sz w:val="22"/>
          <w:szCs w:val="22"/>
        </w:rPr>
        <w:t>(i)</w:t>
      </w:r>
      <w:r w:rsidRPr="001B310C">
        <w:rPr>
          <w:color w:val="auto"/>
          <w:sz w:val="22"/>
          <w:szCs w:val="22"/>
        </w:rPr>
        <w:tab/>
        <w:t>"Tipo de Interés" en relación con cada Divisa Admitida será:</w:t>
      </w:r>
      <w:r w:rsidRPr="001B310C">
        <w:rPr>
          <w:color w:val="auto"/>
          <w:sz w:val="22"/>
          <w:szCs w:val="22"/>
        </w:rPr>
        <w:br/>
      </w:r>
    </w:p>
    <w:tbl>
      <w:tblPr>
        <w:tblW w:w="756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3591"/>
      </w:tblGrid>
      <w:tr w:rsidR="001B310C" w:rsidRPr="002D181B" w14:paraId="0E7408D9" w14:textId="77777777" w:rsidTr="002D181B">
        <w:tc>
          <w:tcPr>
            <w:tcW w:w="3969" w:type="dxa"/>
          </w:tcPr>
          <w:p w14:paraId="472167AC" w14:textId="77777777" w:rsidR="001B310C" w:rsidRPr="002D181B" w:rsidRDefault="001B310C" w:rsidP="002D181B">
            <w:pPr>
              <w:pStyle w:val="Default"/>
              <w:jc w:val="center"/>
              <w:rPr>
                <w:b/>
                <w:color w:val="auto"/>
                <w:sz w:val="22"/>
                <w:szCs w:val="22"/>
              </w:rPr>
            </w:pPr>
            <w:r w:rsidRPr="002D181B">
              <w:rPr>
                <w:b/>
                <w:color w:val="auto"/>
                <w:sz w:val="22"/>
                <w:szCs w:val="22"/>
              </w:rPr>
              <w:t>DIVISA ADMITIDA</w:t>
            </w:r>
          </w:p>
        </w:tc>
        <w:tc>
          <w:tcPr>
            <w:tcW w:w="3591" w:type="dxa"/>
          </w:tcPr>
          <w:p w14:paraId="679306AD" w14:textId="77777777" w:rsidR="001B310C" w:rsidRPr="002D181B" w:rsidRDefault="001B310C" w:rsidP="002D181B">
            <w:pPr>
              <w:pStyle w:val="Default"/>
              <w:jc w:val="center"/>
              <w:rPr>
                <w:b/>
                <w:color w:val="auto"/>
                <w:sz w:val="22"/>
                <w:szCs w:val="22"/>
              </w:rPr>
            </w:pPr>
            <w:r w:rsidRPr="002D181B">
              <w:rPr>
                <w:b/>
                <w:color w:val="auto"/>
                <w:sz w:val="22"/>
                <w:szCs w:val="22"/>
              </w:rPr>
              <w:t>TIPO DE INTERÉS</w:t>
            </w:r>
          </w:p>
        </w:tc>
      </w:tr>
      <w:tr w:rsidR="001B310C" w:rsidRPr="002D181B" w14:paraId="19DAC996" w14:textId="77777777" w:rsidTr="002D181B">
        <w:tc>
          <w:tcPr>
            <w:tcW w:w="3969" w:type="dxa"/>
          </w:tcPr>
          <w:p w14:paraId="148412D3" w14:textId="77777777" w:rsidR="001B310C" w:rsidRPr="002D181B" w:rsidRDefault="001B310C" w:rsidP="002D181B">
            <w:pPr>
              <w:pStyle w:val="Default"/>
              <w:numPr>
                <w:ilvl w:val="0"/>
                <w:numId w:val="8"/>
              </w:numPr>
              <w:jc w:val="both"/>
              <w:rPr>
                <w:color w:val="auto"/>
                <w:sz w:val="22"/>
                <w:szCs w:val="22"/>
              </w:rPr>
            </w:pPr>
          </w:p>
        </w:tc>
        <w:tc>
          <w:tcPr>
            <w:tcW w:w="3591" w:type="dxa"/>
          </w:tcPr>
          <w:p w14:paraId="29D2DFA7" w14:textId="77777777" w:rsidR="001B310C" w:rsidRPr="002D181B" w:rsidRDefault="001B310C" w:rsidP="002D181B">
            <w:pPr>
              <w:pStyle w:val="Default"/>
              <w:numPr>
                <w:ilvl w:val="0"/>
                <w:numId w:val="8"/>
              </w:numPr>
              <w:jc w:val="both"/>
              <w:rPr>
                <w:color w:val="auto"/>
                <w:sz w:val="22"/>
                <w:szCs w:val="22"/>
              </w:rPr>
            </w:pPr>
          </w:p>
        </w:tc>
      </w:tr>
      <w:tr w:rsidR="001B310C" w:rsidRPr="002D181B" w14:paraId="0032D710" w14:textId="77777777" w:rsidTr="002D181B">
        <w:tc>
          <w:tcPr>
            <w:tcW w:w="3969" w:type="dxa"/>
          </w:tcPr>
          <w:p w14:paraId="797430A4" w14:textId="77777777" w:rsidR="001B310C" w:rsidRPr="002D181B" w:rsidRDefault="001B310C" w:rsidP="002D181B">
            <w:pPr>
              <w:pStyle w:val="Default"/>
              <w:numPr>
                <w:ilvl w:val="0"/>
                <w:numId w:val="8"/>
              </w:numPr>
              <w:jc w:val="both"/>
              <w:rPr>
                <w:color w:val="auto"/>
                <w:sz w:val="22"/>
                <w:szCs w:val="22"/>
              </w:rPr>
            </w:pPr>
          </w:p>
        </w:tc>
        <w:tc>
          <w:tcPr>
            <w:tcW w:w="3591" w:type="dxa"/>
          </w:tcPr>
          <w:p w14:paraId="797B09C6" w14:textId="77777777" w:rsidR="001B310C" w:rsidRPr="002D181B" w:rsidRDefault="001B310C" w:rsidP="002D181B">
            <w:pPr>
              <w:pStyle w:val="Default"/>
              <w:numPr>
                <w:ilvl w:val="0"/>
                <w:numId w:val="8"/>
              </w:numPr>
              <w:jc w:val="both"/>
              <w:rPr>
                <w:color w:val="auto"/>
                <w:sz w:val="22"/>
                <w:szCs w:val="22"/>
              </w:rPr>
            </w:pPr>
          </w:p>
        </w:tc>
      </w:tr>
      <w:tr w:rsidR="001B310C" w:rsidRPr="002D181B" w14:paraId="6D1DF2FA" w14:textId="77777777" w:rsidTr="002D181B">
        <w:tc>
          <w:tcPr>
            <w:tcW w:w="3969" w:type="dxa"/>
          </w:tcPr>
          <w:p w14:paraId="3971241B" w14:textId="77777777" w:rsidR="001B310C" w:rsidRPr="002D181B" w:rsidRDefault="001B310C" w:rsidP="002D181B">
            <w:pPr>
              <w:pStyle w:val="Default"/>
              <w:numPr>
                <w:ilvl w:val="0"/>
                <w:numId w:val="8"/>
              </w:numPr>
              <w:jc w:val="both"/>
              <w:rPr>
                <w:color w:val="auto"/>
                <w:sz w:val="22"/>
                <w:szCs w:val="22"/>
              </w:rPr>
            </w:pPr>
          </w:p>
        </w:tc>
        <w:tc>
          <w:tcPr>
            <w:tcW w:w="3591" w:type="dxa"/>
          </w:tcPr>
          <w:p w14:paraId="4482E87E" w14:textId="77777777" w:rsidR="001B310C" w:rsidRPr="002D181B" w:rsidRDefault="001B310C" w:rsidP="002D181B">
            <w:pPr>
              <w:pStyle w:val="Default"/>
              <w:numPr>
                <w:ilvl w:val="0"/>
                <w:numId w:val="8"/>
              </w:numPr>
              <w:jc w:val="both"/>
              <w:rPr>
                <w:color w:val="auto"/>
                <w:sz w:val="22"/>
                <w:szCs w:val="22"/>
              </w:rPr>
            </w:pPr>
          </w:p>
        </w:tc>
      </w:tr>
    </w:tbl>
    <w:p w14:paraId="30FF4C6B" w14:textId="77777777" w:rsidR="001B310C" w:rsidRDefault="001B310C" w:rsidP="001B310C">
      <w:pPr>
        <w:pStyle w:val="Default"/>
        <w:jc w:val="both"/>
        <w:rPr>
          <w:color w:val="auto"/>
          <w:sz w:val="22"/>
          <w:szCs w:val="22"/>
        </w:rPr>
      </w:pPr>
    </w:p>
    <w:p w14:paraId="4D23786A" w14:textId="77777777" w:rsidR="001B310C" w:rsidRPr="001B310C" w:rsidRDefault="001B310C" w:rsidP="001B310C">
      <w:pPr>
        <w:pStyle w:val="Default"/>
        <w:jc w:val="both"/>
        <w:rPr>
          <w:color w:val="auto"/>
          <w:sz w:val="22"/>
          <w:szCs w:val="22"/>
        </w:rPr>
      </w:pPr>
    </w:p>
    <w:p w14:paraId="64CF68A7" w14:textId="77777777" w:rsidR="00397C18" w:rsidRDefault="00397C18" w:rsidP="00183DF3">
      <w:pPr>
        <w:pStyle w:val="Default"/>
        <w:numPr>
          <w:ilvl w:val="1"/>
          <w:numId w:val="8"/>
        </w:numPr>
        <w:jc w:val="both"/>
        <w:rPr>
          <w:color w:val="auto"/>
          <w:sz w:val="22"/>
          <w:szCs w:val="22"/>
        </w:rPr>
      </w:pPr>
      <w:r w:rsidRPr="001B310C">
        <w:rPr>
          <w:color w:val="auto"/>
          <w:sz w:val="22"/>
          <w:szCs w:val="22"/>
        </w:rPr>
        <w:t>(ii)</w:t>
      </w:r>
      <w:r w:rsidRPr="001B310C">
        <w:rPr>
          <w:color w:val="auto"/>
          <w:sz w:val="22"/>
          <w:szCs w:val="22"/>
        </w:rPr>
        <w:tab/>
        <w:t xml:space="preserve">"Cesión de Intereses" La Cesión de Intereses se realizará [el segundo Día Hábil de cada mes]. </w:t>
      </w:r>
    </w:p>
    <w:p w14:paraId="03EEA8F6" w14:textId="77777777" w:rsidR="001B310C" w:rsidRPr="001B310C" w:rsidRDefault="001B310C" w:rsidP="00183DF3">
      <w:pPr>
        <w:pStyle w:val="Default"/>
        <w:numPr>
          <w:ilvl w:val="1"/>
          <w:numId w:val="8"/>
        </w:numPr>
        <w:jc w:val="both"/>
        <w:rPr>
          <w:color w:val="auto"/>
          <w:sz w:val="22"/>
          <w:szCs w:val="22"/>
        </w:rPr>
      </w:pPr>
    </w:p>
    <w:p w14:paraId="75D4941F" w14:textId="77777777" w:rsidR="00397C18" w:rsidRPr="001B310C" w:rsidRDefault="00397C18" w:rsidP="001B310C">
      <w:pPr>
        <w:pStyle w:val="Default"/>
        <w:jc w:val="both"/>
        <w:rPr>
          <w:b/>
          <w:color w:val="auto"/>
          <w:sz w:val="22"/>
          <w:szCs w:val="22"/>
        </w:rPr>
      </w:pPr>
      <w:r w:rsidRPr="001B310C">
        <w:rPr>
          <w:b/>
          <w:i/>
          <w:iCs/>
          <w:color w:val="auto"/>
          <w:sz w:val="22"/>
          <w:szCs w:val="22"/>
        </w:rPr>
        <w:t xml:space="preserve">(i) Cuentas para Cesiones. </w:t>
      </w:r>
    </w:p>
    <w:p w14:paraId="77435049" w14:textId="77777777" w:rsidR="00397C18" w:rsidRPr="001B310C" w:rsidRDefault="00397C18" w:rsidP="00183DF3">
      <w:pPr>
        <w:pStyle w:val="CM4"/>
        <w:jc w:val="both"/>
        <w:rPr>
          <w:sz w:val="22"/>
          <w:szCs w:val="22"/>
        </w:rPr>
      </w:pPr>
    </w:p>
    <w:p w14:paraId="6C6BF76E" w14:textId="77777777" w:rsidR="001B310C" w:rsidRDefault="001B310C" w:rsidP="001B310C">
      <w:pPr>
        <w:pStyle w:val="CM24"/>
        <w:spacing w:after="0" w:line="253" w:lineRule="atLeast"/>
        <w:ind w:left="1060"/>
        <w:jc w:val="both"/>
        <w:rPr>
          <w:sz w:val="22"/>
          <w:szCs w:val="22"/>
        </w:rPr>
      </w:pPr>
      <w:r>
        <w:rPr>
          <w:b/>
          <w:sz w:val="22"/>
          <w:szCs w:val="22"/>
        </w:rPr>
        <w:t>Par</w:t>
      </w:r>
      <w:r w:rsidR="00397C18" w:rsidRPr="001B310C">
        <w:rPr>
          <w:b/>
          <w:sz w:val="22"/>
          <w:szCs w:val="22"/>
        </w:rPr>
        <w:t>te A</w:t>
      </w:r>
      <w:r w:rsidR="00397C18" w:rsidRPr="001B310C">
        <w:rPr>
          <w:sz w:val="22"/>
          <w:szCs w:val="22"/>
        </w:rPr>
        <w:br/>
        <w:t>Cuenta de Efectivo: [</w:t>
      </w:r>
      <w:r>
        <w:rPr>
          <w:sz w:val="22"/>
          <w:szCs w:val="22"/>
        </w:rPr>
        <w:t xml:space="preserve">    </w:t>
      </w:r>
      <w:r w:rsidRPr="001B310C">
        <w:rPr>
          <w:sz w:val="22"/>
          <w:szCs w:val="22"/>
        </w:rPr>
        <w:t>]</w:t>
      </w:r>
    </w:p>
    <w:p w14:paraId="05001AFE" w14:textId="77777777" w:rsidR="001B310C" w:rsidRDefault="00397C18" w:rsidP="001B310C">
      <w:pPr>
        <w:pStyle w:val="CM24"/>
        <w:spacing w:after="0" w:line="253" w:lineRule="atLeast"/>
        <w:ind w:left="1060"/>
        <w:jc w:val="both"/>
        <w:rPr>
          <w:sz w:val="22"/>
          <w:szCs w:val="22"/>
        </w:rPr>
      </w:pPr>
      <w:r w:rsidRPr="001B310C">
        <w:rPr>
          <w:sz w:val="22"/>
          <w:szCs w:val="22"/>
        </w:rPr>
        <w:t>Cuenta de Valores: [</w:t>
      </w:r>
      <w:r w:rsidR="001B310C">
        <w:rPr>
          <w:sz w:val="22"/>
          <w:szCs w:val="22"/>
        </w:rPr>
        <w:t xml:space="preserve">    </w:t>
      </w:r>
      <w:r w:rsidR="001B310C" w:rsidRPr="001B310C">
        <w:rPr>
          <w:sz w:val="22"/>
          <w:szCs w:val="22"/>
        </w:rPr>
        <w:t>]</w:t>
      </w:r>
    </w:p>
    <w:p w14:paraId="701848A1" w14:textId="77777777" w:rsidR="001B310C" w:rsidRDefault="001B310C" w:rsidP="001B310C">
      <w:pPr>
        <w:pStyle w:val="CM24"/>
        <w:spacing w:after="0" w:line="253" w:lineRule="atLeast"/>
        <w:ind w:left="1060"/>
        <w:jc w:val="both"/>
        <w:rPr>
          <w:sz w:val="22"/>
          <w:szCs w:val="22"/>
        </w:rPr>
      </w:pPr>
    </w:p>
    <w:p w14:paraId="6EA737D4" w14:textId="77777777" w:rsidR="001B310C" w:rsidRDefault="00397C18" w:rsidP="001B310C">
      <w:pPr>
        <w:pStyle w:val="CM24"/>
        <w:spacing w:after="0" w:line="253" w:lineRule="atLeast"/>
        <w:ind w:left="1060"/>
        <w:jc w:val="both"/>
        <w:rPr>
          <w:sz w:val="22"/>
          <w:szCs w:val="22"/>
        </w:rPr>
      </w:pPr>
      <w:r w:rsidRPr="001B310C">
        <w:rPr>
          <w:b/>
          <w:sz w:val="22"/>
          <w:szCs w:val="22"/>
        </w:rPr>
        <w:t>Parte B</w:t>
      </w:r>
      <w:r w:rsidRPr="001B310C">
        <w:rPr>
          <w:b/>
          <w:sz w:val="22"/>
          <w:szCs w:val="22"/>
        </w:rPr>
        <w:br/>
      </w:r>
      <w:r w:rsidRPr="001B310C">
        <w:rPr>
          <w:sz w:val="22"/>
          <w:szCs w:val="22"/>
        </w:rPr>
        <w:t>Cuenta de Efectivo: [</w:t>
      </w:r>
      <w:r w:rsidR="001B310C">
        <w:rPr>
          <w:sz w:val="22"/>
          <w:szCs w:val="22"/>
        </w:rPr>
        <w:t xml:space="preserve">    </w:t>
      </w:r>
      <w:r w:rsidR="001B310C" w:rsidRPr="001B310C">
        <w:rPr>
          <w:sz w:val="22"/>
          <w:szCs w:val="22"/>
        </w:rPr>
        <w:t>]</w:t>
      </w:r>
    </w:p>
    <w:p w14:paraId="2015BD39" w14:textId="77777777" w:rsidR="00397C18" w:rsidRPr="001B310C" w:rsidRDefault="00397C18" w:rsidP="001B310C">
      <w:pPr>
        <w:pStyle w:val="CM24"/>
        <w:spacing w:after="0" w:line="253" w:lineRule="atLeast"/>
        <w:ind w:left="1060"/>
        <w:jc w:val="both"/>
        <w:rPr>
          <w:sz w:val="22"/>
          <w:szCs w:val="22"/>
        </w:rPr>
      </w:pPr>
      <w:r w:rsidRPr="001B310C">
        <w:rPr>
          <w:sz w:val="22"/>
          <w:szCs w:val="22"/>
        </w:rPr>
        <w:t>Cuenta de Valores: [</w:t>
      </w:r>
      <w:r w:rsidR="001B310C">
        <w:rPr>
          <w:sz w:val="22"/>
          <w:szCs w:val="22"/>
        </w:rPr>
        <w:t xml:space="preserve">    </w:t>
      </w:r>
      <w:r w:rsidR="001B310C" w:rsidRPr="001B310C">
        <w:rPr>
          <w:sz w:val="22"/>
          <w:szCs w:val="22"/>
        </w:rPr>
        <w:t>]</w:t>
      </w:r>
    </w:p>
    <w:p w14:paraId="7D08FB43" w14:textId="77777777" w:rsidR="001B310C" w:rsidRDefault="001B310C" w:rsidP="00183DF3">
      <w:pPr>
        <w:pStyle w:val="CM13"/>
        <w:jc w:val="both"/>
        <w:rPr>
          <w:b/>
          <w:i/>
          <w:iCs/>
          <w:sz w:val="22"/>
          <w:szCs w:val="22"/>
        </w:rPr>
      </w:pPr>
    </w:p>
    <w:p w14:paraId="5C9C2516" w14:textId="77777777" w:rsidR="00397C18" w:rsidRDefault="001B310C" w:rsidP="00183DF3">
      <w:pPr>
        <w:pStyle w:val="CM13"/>
        <w:jc w:val="both"/>
        <w:rPr>
          <w:b/>
          <w:i/>
          <w:iCs/>
          <w:sz w:val="22"/>
          <w:szCs w:val="22"/>
        </w:rPr>
      </w:pPr>
      <w:r w:rsidRPr="001B310C">
        <w:rPr>
          <w:b/>
          <w:i/>
          <w:iCs/>
          <w:sz w:val="22"/>
          <w:szCs w:val="22"/>
        </w:rPr>
        <w:t>(j</w:t>
      </w:r>
      <w:r w:rsidR="00397C18" w:rsidRPr="001B310C">
        <w:rPr>
          <w:b/>
          <w:i/>
          <w:iCs/>
          <w:sz w:val="22"/>
          <w:szCs w:val="22"/>
        </w:rPr>
        <w:t>) O</w:t>
      </w:r>
      <w:r w:rsidRPr="001B310C">
        <w:rPr>
          <w:b/>
          <w:i/>
          <w:iCs/>
          <w:sz w:val="22"/>
          <w:szCs w:val="22"/>
        </w:rPr>
        <w:t>t</w:t>
      </w:r>
      <w:r w:rsidR="00397C18" w:rsidRPr="001B310C">
        <w:rPr>
          <w:b/>
          <w:i/>
          <w:iCs/>
          <w:sz w:val="22"/>
          <w:szCs w:val="22"/>
        </w:rPr>
        <w:t xml:space="preserve">ras Disposiciones. </w:t>
      </w:r>
    </w:p>
    <w:p w14:paraId="6D479E9F" w14:textId="77777777" w:rsidR="00F514D7" w:rsidRDefault="00F514D7" w:rsidP="00F514D7">
      <w:pPr>
        <w:pStyle w:val="Default"/>
      </w:pPr>
    </w:p>
    <w:p w14:paraId="6F9D2D99" w14:textId="77777777" w:rsidR="00F514D7" w:rsidRPr="00F514D7" w:rsidRDefault="00A949C6" w:rsidP="00F514D7">
      <w:pPr>
        <w:pStyle w:val="Default"/>
        <w:jc w:val="both"/>
      </w:pPr>
      <w:r>
        <w:t>[</w:t>
      </w:r>
      <w:r w:rsidR="00F514D7">
        <w:t xml:space="preserve">En prueba de conformidad, las Partes firman la presente Estipulación Adicional al Anexo III al Contrato Marco, por duplicado ejemplar, en el lugar y fecha indicados en el encabezamiento </w:t>
      </w:r>
      <w:r w:rsidR="004312B4">
        <w:t>de</w:t>
      </w:r>
      <w:r w:rsidR="00F514D7">
        <w:t>l presente Anexo.</w:t>
      </w:r>
      <w:r>
        <w:t>]</w:t>
      </w:r>
    </w:p>
    <w:sectPr w:rsidR="00F514D7" w:rsidRPr="00F514D7" w:rsidSect="00183DF3">
      <w:type w:val="continuous"/>
      <w:pgSz w:w="11900" w:h="16800"/>
      <w:pgMar w:top="1588" w:right="1701" w:bottom="1418" w:left="164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8F503" w14:textId="77777777" w:rsidR="00875E62" w:rsidRDefault="00875E62" w:rsidP="002D181B">
      <w:pPr>
        <w:spacing w:after="0" w:line="240" w:lineRule="auto"/>
      </w:pPr>
      <w:r>
        <w:separator/>
      </w:r>
    </w:p>
  </w:endnote>
  <w:endnote w:type="continuationSeparator" w:id="0">
    <w:p w14:paraId="05068170" w14:textId="77777777" w:rsidR="00875E62" w:rsidRDefault="00875E62" w:rsidP="002D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7B60" w14:textId="77777777" w:rsidR="00080AAA" w:rsidRDefault="00080AA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DB4A" w14:textId="77777777" w:rsidR="00A949C6" w:rsidRPr="003564E8" w:rsidRDefault="00F17EFB">
    <w:pPr>
      <w:pStyle w:val="Piedepgina"/>
      <w:rPr>
        <w:rFonts w:ascii="Times New Roman" w:hAnsi="Times New Roman"/>
      </w:rPr>
    </w:pPr>
    <w:r>
      <w:rPr>
        <w:rFonts w:ascii="Times New Roman" w:hAnsi="Times New Roman"/>
      </w:rPr>
      <w:t>© AEB – CECA. Madrid.</w:t>
    </w:r>
    <w:r w:rsidR="00A949C6">
      <w:rPr>
        <w:rFonts w:ascii="Times New Roman" w:hAnsi="Times New Roman"/>
      </w:rPr>
      <w:t xml:space="preserve"> 20</w:t>
    </w:r>
    <w:r w:rsidR="00080AAA">
      <w:rPr>
        <w:rFonts w:ascii="Times New Roman" w:hAnsi="Times New Roman"/>
      </w:rPr>
      <w:t>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2AC5E" w14:textId="77777777" w:rsidR="00080AAA" w:rsidRDefault="00080AA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EAAB" w14:textId="77777777" w:rsidR="00875E62" w:rsidRDefault="00875E62" w:rsidP="002D181B">
      <w:pPr>
        <w:spacing w:after="0" w:line="240" w:lineRule="auto"/>
      </w:pPr>
      <w:r>
        <w:separator/>
      </w:r>
    </w:p>
  </w:footnote>
  <w:footnote w:type="continuationSeparator" w:id="0">
    <w:p w14:paraId="139A1CA3" w14:textId="77777777" w:rsidR="00875E62" w:rsidRDefault="00875E62" w:rsidP="002D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D99E" w14:textId="77777777" w:rsidR="00080AAA" w:rsidRDefault="00080A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AF8A" w14:textId="77777777" w:rsidR="00080AAA" w:rsidRDefault="00080A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CEED" w14:textId="77777777" w:rsidR="00080AAA" w:rsidRDefault="00080A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175C40"/>
    <w:multiLevelType w:val="hybridMultilevel"/>
    <w:tmpl w:val="2EB8E6D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DAFCC8"/>
    <w:multiLevelType w:val="hybridMultilevel"/>
    <w:tmpl w:val="5395C024"/>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D2C45DC6"/>
    <w:multiLevelType w:val="hybridMultilevel"/>
    <w:tmpl w:val="4A97CEA2"/>
    <w:lvl w:ilvl="0" w:tplc="FFFFFFFF">
      <w:start w:val="1"/>
      <w:numFmt w:val="decim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FFEC918"/>
    <w:multiLevelType w:val="hybridMultilevel"/>
    <w:tmpl w:val="344DB59E"/>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9586FEC"/>
    <w:multiLevelType w:val="hybridMultilevel"/>
    <w:tmpl w:val="8ED6CE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32BE95E6"/>
    <w:multiLevelType w:val="hybridMultilevel"/>
    <w:tmpl w:val="1462E79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B7647AB"/>
    <w:multiLevelType w:val="hybridMultilevel"/>
    <w:tmpl w:val="162AC3C0"/>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4A55155C"/>
    <w:multiLevelType w:val="hybridMultilevel"/>
    <w:tmpl w:val="6B54CDC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7"/>
  </w:num>
  <w:num w:numId="3">
    <w:abstractNumId w:val="3"/>
  </w:num>
  <w:num w:numId="4">
    <w:abstractNumId w:val="0"/>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E5A"/>
    <w:rsid w:val="00017E5A"/>
    <w:rsid w:val="00020561"/>
    <w:rsid w:val="000278B3"/>
    <w:rsid w:val="00030DD2"/>
    <w:rsid w:val="00080AAA"/>
    <w:rsid w:val="000A765A"/>
    <w:rsid w:val="00120479"/>
    <w:rsid w:val="0012575E"/>
    <w:rsid w:val="00183DF3"/>
    <w:rsid w:val="001B310C"/>
    <w:rsid w:val="00290DD7"/>
    <w:rsid w:val="002C1A07"/>
    <w:rsid w:val="002D181B"/>
    <w:rsid w:val="002D35EA"/>
    <w:rsid w:val="003564E8"/>
    <w:rsid w:val="00397C18"/>
    <w:rsid w:val="004312B4"/>
    <w:rsid w:val="00473E77"/>
    <w:rsid w:val="004D3BA3"/>
    <w:rsid w:val="005214DB"/>
    <w:rsid w:val="006132B5"/>
    <w:rsid w:val="00664EE7"/>
    <w:rsid w:val="006768D7"/>
    <w:rsid w:val="007D2874"/>
    <w:rsid w:val="00871DA2"/>
    <w:rsid w:val="00875E62"/>
    <w:rsid w:val="00891B0C"/>
    <w:rsid w:val="008A7A19"/>
    <w:rsid w:val="00A949C6"/>
    <w:rsid w:val="00B643CD"/>
    <w:rsid w:val="00C1628F"/>
    <w:rsid w:val="00C723CB"/>
    <w:rsid w:val="00D67F17"/>
    <w:rsid w:val="00DA2740"/>
    <w:rsid w:val="00E10991"/>
    <w:rsid w:val="00EB770D"/>
    <w:rsid w:val="00EE0261"/>
    <w:rsid w:val="00F17EFB"/>
    <w:rsid w:val="00F514D7"/>
    <w:rsid w:val="00F663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4E77CC7"/>
  <w15:chartTrackingRefBased/>
  <w15:docId w15:val="{69DCB994-00AF-468D-B165-61D9AE22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1">
    <w:name w:val="CM1"/>
    <w:basedOn w:val="Default"/>
    <w:next w:val="Default"/>
    <w:uiPriority w:val="99"/>
    <w:pPr>
      <w:spacing w:line="256" w:lineRule="atLeast"/>
    </w:pPr>
    <w:rPr>
      <w:color w:val="auto"/>
    </w:rPr>
  </w:style>
  <w:style w:type="paragraph" w:customStyle="1" w:styleId="CM24">
    <w:name w:val="CM24"/>
    <w:basedOn w:val="Default"/>
    <w:next w:val="Default"/>
    <w:uiPriority w:val="99"/>
    <w:pPr>
      <w:spacing w:after="250"/>
    </w:pPr>
    <w:rPr>
      <w:color w:val="auto"/>
    </w:rPr>
  </w:style>
  <w:style w:type="paragraph" w:customStyle="1" w:styleId="CM25">
    <w:name w:val="CM25"/>
    <w:basedOn w:val="Default"/>
    <w:next w:val="Default"/>
    <w:uiPriority w:val="99"/>
    <w:pPr>
      <w:spacing w:after="795"/>
    </w:pPr>
    <w:rPr>
      <w:color w:val="auto"/>
    </w:rPr>
  </w:style>
  <w:style w:type="paragraph" w:customStyle="1" w:styleId="CM2">
    <w:name w:val="CM2"/>
    <w:basedOn w:val="Default"/>
    <w:next w:val="Default"/>
    <w:uiPriority w:val="99"/>
    <w:rPr>
      <w:color w:val="auto"/>
    </w:rPr>
  </w:style>
  <w:style w:type="paragraph" w:customStyle="1" w:styleId="CM26">
    <w:name w:val="CM26"/>
    <w:basedOn w:val="Default"/>
    <w:next w:val="Default"/>
    <w:uiPriority w:val="99"/>
    <w:pPr>
      <w:spacing w:after="508"/>
    </w:pPr>
    <w:rPr>
      <w:color w:val="auto"/>
    </w:rPr>
  </w:style>
  <w:style w:type="paragraph" w:customStyle="1" w:styleId="CM3">
    <w:name w:val="CM3"/>
    <w:basedOn w:val="Default"/>
    <w:next w:val="Default"/>
    <w:uiPriority w:val="99"/>
    <w:pPr>
      <w:spacing w:line="253" w:lineRule="atLeast"/>
    </w:pPr>
    <w:rPr>
      <w:color w:val="auto"/>
    </w:rPr>
  </w:style>
  <w:style w:type="paragraph" w:customStyle="1" w:styleId="CM27">
    <w:name w:val="CM27"/>
    <w:basedOn w:val="Default"/>
    <w:next w:val="Default"/>
    <w:uiPriority w:val="99"/>
    <w:pPr>
      <w:spacing w:after="1035"/>
    </w:pPr>
    <w:rPr>
      <w:color w:val="auto"/>
    </w:rPr>
  </w:style>
  <w:style w:type="paragraph" w:customStyle="1" w:styleId="CM4">
    <w:name w:val="CM4"/>
    <w:basedOn w:val="Default"/>
    <w:next w:val="Default"/>
    <w:uiPriority w:val="99"/>
    <w:pPr>
      <w:spacing w:line="256" w:lineRule="atLeast"/>
    </w:pPr>
    <w:rPr>
      <w:color w:val="auto"/>
    </w:rPr>
  </w:style>
  <w:style w:type="paragraph" w:customStyle="1" w:styleId="CM5">
    <w:name w:val="CM5"/>
    <w:basedOn w:val="Default"/>
    <w:next w:val="Default"/>
    <w:uiPriority w:val="99"/>
    <w:pPr>
      <w:spacing w:line="253" w:lineRule="atLeast"/>
    </w:pPr>
    <w:rPr>
      <w:color w:val="auto"/>
    </w:rPr>
  </w:style>
  <w:style w:type="paragraph" w:customStyle="1" w:styleId="CM6">
    <w:name w:val="CM6"/>
    <w:basedOn w:val="Default"/>
    <w:next w:val="Default"/>
    <w:uiPriority w:val="99"/>
    <w:pPr>
      <w:spacing w:line="256"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48" w:lineRule="atLeast"/>
    </w:pPr>
    <w:rPr>
      <w:color w:val="auto"/>
    </w:rPr>
  </w:style>
  <w:style w:type="paragraph" w:customStyle="1" w:styleId="CM10">
    <w:name w:val="CM10"/>
    <w:basedOn w:val="Default"/>
    <w:next w:val="Default"/>
    <w:uiPriority w:val="99"/>
    <w:pPr>
      <w:spacing w:line="253" w:lineRule="atLeast"/>
    </w:pPr>
    <w:rPr>
      <w:color w:val="auto"/>
    </w:rPr>
  </w:style>
  <w:style w:type="paragraph" w:customStyle="1" w:styleId="CM11">
    <w:name w:val="CM11"/>
    <w:basedOn w:val="Default"/>
    <w:next w:val="Default"/>
    <w:uiPriority w:val="99"/>
    <w:pPr>
      <w:spacing w:line="251" w:lineRule="atLeast"/>
    </w:pPr>
    <w:rPr>
      <w:color w:val="auto"/>
    </w:rPr>
  </w:style>
  <w:style w:type="paragraph" w:customStyle="1" w:styleId="CM12">
    <w:name w:val="CM12"/>
    <w:basedOn w:val="Default"/>
    <w:next w:val="Default"/>
    <w:uiPriority w:val="99"/>
    <w:rPr>
      <w:color w:val="auto"/>
    </w:rPr>
  </w:style>
  <w:style w:type="paragraph" w:customStyle="1" w:styleId="CM13">
    <w:name w:val="CM13"/>
    <w:basedOn w:val="Default"/>
    <w:next w:val="Default"/>
    <w:uiPriority w:val="99"/>
    <w:pPr>
      <w:spacing w:line="258" w:lineRule="atLeast"/>
    </w:pPr>
    <w:rPr>
      <w:color w:val="auto"/>
    </w:rPr>
  </w:style>
  <w:style w:type="paragraph" w:customStyle="1" w:styleId="CM14">
    <w:name w:val="CM14"/>
    <w:basedOn w:val="Default"/>
    <w:next w:val="Default"/>
    <w:uiPriority w:val="99"/>
    <w:pPr>
      <w:spacing w:line="263" w:lineRule="atLeast"/>
    </w:pPr>
    <w:rPr>
      <w:color w:val="auto"/>
    </w:rPr>
  </w:style>
  <w:style w:type="paragraph" w:customStyle="1" w:styleId="CM15">
    <w:name w:val="CM15"/>
    <w:basedOn w:val="Default"/>
    <w:next w:val="Default"/>
    <w:uiPriority w:val="99"/>
    <w:pPr>
      <w:spacing w:line="251" w:lineRule="atLeast"/>
    </w:pPr>
    <w:rPr>
      <w:color w:val="auto"/>
    </w:rPr>
  </w:style>
  <w:style w:type="paragraph" w:customStyle="1" w:styleId="CM28">
    <w:name w:val="CM28"/>
    <w:basedOn w:val="Default"/>
    <w:next w:val="Default"/>
    <w:uiPriority w:val="99"/>
    <w:pPr>
      <w:spacing w:after="98"/>
    </w:pPr>
    <w:rPr>
      <w:color w:val="auto"/>
    </w:rPr>
  </w:style>
  <w:style w:type="paragraph" w:customStyle="1" w:styleId="CM17">
    <w:name w:val="CM17"/>
    <w:basedOn w:val="Default"/>
    <w:next w:val="Default"/>
    <w:uiPriority w:val="99"/>
    <w:pPr>
      <w:spacing w:line="263" w:lineRule="atLeast"/>
    </w:pPr>
    <w:rPr>
      <w:color w:val="auto"/>
    </w:rPr>
  </w:style>
  <w:style w:type="paragraph" w:customStyle="1" w:styleId="CM18">
    <w:name w:val="CM18"/>
    <w:basedOn w:val="Default"/>
    <w:next w:val="Default"/>
    <w:uiPriority w:val="99"/>
    <w:pPr>
      <w:spacing w:line="253" w:lineRule="atLeast"/>
    </w:pPr>
    <w:rPr>
      <w:color w:val="auto"/>
    </w:rPr>
  </w:style>
  <w:style w:type="paragraph" w:customStyle="1" w:styleId="CM29">
    <w:name w:val="CM29"/>
    <w:basedOn w:val="Default"/>
    <w:next w:val="Default"/>
    <w:uiPriority w:val="99"/>
    <w:pPr>
      <w:spacing w:after="405"/>
    </w:pPr>
    <w:rPr>
      <w:color w:val="auto"/>
    </w:rPr>
  </w:style>
  <w:style w:type="paragraph" w:customStyle="1" w:styleId="CM23">
    <w:name w:val="CM23"/>
    <w:basedOn w:val="Default"/>
    <w:next w:val="Default"/>
    <w:uiPriority w:val="99"/>
    <w:pPr>
      <w:spacing w:line="253" w:lineRule="atLeast"/>
    </w:pPr>
    <w:rPr>
      <w:color w:val="auto"/>
    </w:rPr>
  </w:style>
  <w:style w:type="table" w:styleId="Tablaconcuadrcula">
    <w:name w:val="Table Grid"/>
    <w:basedOn w:val="Tablanormal"/>
    <w:uiPriority w:val="59"/>
    <w:rsid w:val="001B310C"/>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semiHidden/>
    <w:unhideWhenUsed/>
    <w:rsid w:val="002D181B"/>
    <w:pPr>
      <w:tabs>
        <w:tab w:val="center" w:pos="4252"/>
        <w:tab w:val="right" w:pos="8504"/>
      </w:tabs>
    </w:pPr>
  </w:style>
  <w:style w:type="character" w:customStyle="1" w:styleId="EncabezadoCar">
    <w:name w:val="Encabezado Car"/>
    <w:basedOn w:val="Fuentedeprrafopredeter"/>
    <w:link w:val="Encabezado"/>
    <w:uiPriority w:val="99"/>
    <w:semiHidden/>
    <w:locked/>
    <w:rsid w:val="002D181B"/>
    <w:rPr>
      <w:rFonts w:cs="Times New Roman"/>
    </w:rPr>
  </w:style>
  <w:style w:type="paragraph" w:styleId="Piedepgina">
    <w:name w:val="footer"/>
    <w:basedOn w:val="Normal"/>
    <w:link w:val="PiedepginaCar"/>
    <w:uiPriority w:val="99"/>
    <w:unhideWhenUsed/>
    <w:rsid w:val="002D181B"/>
    <w:pPr>
      <w:tabs>
        <w:tab w:val="center" w:pos="4252"/>
        <w:tab w:val="right" w:pos="8504"/>
      </w:tabs>
    </w:pPr>
  </w:style>
  <w:style w:type="character" w:customStyle="1" w:styleId="PiedepginaCar">
    <w:name w:val="Pie de página Car"/>
    <w:basedOn w:val="Fuentedeprrafopredeter"/>
    <w:link w:val="Piedepgina"/>
    <w:uiPriority w:val="99"/>
    <w:locked/>
    <w:rsid w:val="002D181B"/>
    <w:rPr>
      <w:rFonts w:cs="Times New Roman"/>
    </w:rPr>
  </w:style>
  <w:style w:type="paragraph" w:styleId="Textodeglobo">
    <w:name w:val="Balloon Text"/>
    <w:basedOn w:val="Normal"/>
    <w:link w:val="TextodegloboCar"/>
    <w:uiPriority w:val="99"/>
    <w:semiHidden/>
    <w:unhideWhenUsed/>
    <w:rsid w:val="002D18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D18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1AC4DB6CF4F64CBFD278E8BA93E496" ma:contentTypeVersion="9" ma:contentTypeDescription="Crear nuevo documento." ma:contentTypeScope="" ma:versionID="9b6672c7041cc57a4f4a133c4a8048b1">
  <xsd:schema xmlns:xsd="http://www.w3.org/2001/XMLSchema" xmlns:xs="http://www.w3.org/2001/XMLSchema" xmlns:p="http://schemas.microsoft.com/office/2006/metadata/properties" xmlns:ns3="f27ca9c7-537e-41bc-a366-4f87ece73a38" targetNamespace="http://schemas.microsoft.com/office/2006/metadata/properties" ma:root="true" ma:fieldsID="a5780a3c483d5887922ac5bce8608ae8" ns3:_="">
    <xsd:import namespace="f27ca9c7-537e-41bc-a366-4f87ece73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a9c7-537e-41bc-a366-4f87ece7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6BE240-20F4-4B95-90A5-954E9877B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a9c7-537e-41bc-a366-4f87ece7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3E622-57CF-449E-8D02-EDAE45C7E753}">
  <ds:schemaRefs>
    <ds:schemaRef ds:uri="http://schemas.microsoft.com/sharepoint/v3/contenttype/forms"/>
  </ds:schemaRefs>
</ds:datastoreItem>
</file>

<file path=customXml/itemProps3.xml><?xml version="1.0" encoding="utf-8"?>
<ds:datastoreItem xmlns:ds="http://schemas.openxmlformats.org/officeDocument/2006/customXml" ds:itemID="{0C7AB214-C535-4373-B403-D875CD9500CD}">
  <ds:schemaRefs>
    <ds:schemaRef ds:uri="http://www.w3.org/XML/1998/namespace"/>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f27ca9c7-537e-41bc-a366-4f87ece73a3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3905</Words>
  <Characters>21479</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Conchita Lanuza</dc:creator>
  <cp:keywords/>
  <dc:description/>
  <cp:lastModifiedBy>Almudena Marina García</cp:lastModifiedBy>
  <cp:revision>2</cp:revision>
  <cp:lastPrinted>2009-07-03T09:44:00Z</cp:lastPrinted>
  <dcterms:created xsi:type="dcterms:W3CDTF">2021-03-02T12:29:00Z</dcterms:created>
  <dcterms:modified xsi:type="dcterms:W3CDTF">2021-03-02T12:29:00Z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0x010100981AC4DB6CF4F64CBFD278E8BA93E496</vt:lpwstr>
  </property>
</Properties>
</file>